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3B4E" w:rsidRPr="00BD29FF" w:rsidRDefault="008E2D34" w:rsidP="00586096">
      <w:pPr>
        <w:spacing w:before="1247" w:after="340"/>
        <w:jc w:val="both"/>
        <w:rPr>
          <w:rFonts w:ascii="Arial" w:hAnsi="Arial" w:cs="Arial"/>
          <w:b/>
          <w:sz w:val="32"/>
          <w:szCs w:val="32"/>
          <w:lang w:val="en-GB"/>
        </w:rPr>
      </w:pPr>
      <w:r w:rsidRPr="00BD29FF">
        <w:rPr>
          <w:rFonts w:ascii="Arial" w:hAnsi="Arial" w:cs="Arial"/>
          <w:b/>
          <w:sz w:val="32"/>
          <w:szCs w:val="32"/>
          <w:lang w:val="en-GB"/>
        </w:rPr>
        <w:t>Inter-rater reliability of the new observational method for assessing an exposure to risk factors related to Work-related Musculoskeletal Disorders (WMSDs)</w:t>
      </w:r>
    </w:p>
    <w:p w:rsidR="00DB3B4E" w:rsidRPr="00BD29FF" w:rsidRDefault="008E2D34">
      <w:pPr>
        <w:rPr>
          <w:rFonts w:ascii="Times New Roman" w:hAnsi="Times New Roman" w:cs="Times New Roman"/>
          <w:bCs/>
          <w:sz w:val="20"/>
          <w:vertAlign w:val="superscript"/>
          <w:lang w:val="en-GB"/>
        </w:rPr>
      </w:pPr>
      <w:r w:rsidRPr="00BD29FF">
        <w:rPr>
          <w:rFonts w:ascii="Times New Roman" w:hAnsi="Times New Roman" w:cs="Times New Roman"/>
          <w:bCs/>
          <w:i/>
          <w:sz w:val="20"/>
          <w:lang w:val="en-GB"/>
        </w:rPr>
        <w:t>Mohd</w:t>
      </w:r>
      <w:r w:rsidR="003A221C">
        <w:rPr>
          <w:rFonts w:ascii="Times New Roman" w:hAnsi="Times New Roman" w:cs="Times New Roman"/>
          <w:bCs/>
          <w:i/>
          <w:sz w:val="20"/>
          <w:lang w:val="en-GB"/>
        </w:rPr>
        <w:t xml:space="preserve"> Nasrull </w:t>
      </w:r>
      <w:r w:rsidRPr="003A221C">
        <w:rPr>
          <w:rFonts w:ascii="Times New Roman" w:hAnsi="Times New Roman" w:cs="Times New Roman"/>
          <w:bCs/>
          <w:i/>
          <w:sz w:val="20"/>
          <w:lang w:val="en-GB"/>
        </w:rPr>
        <w:t>Abdol</w:t>
      </w:r>
      <w:r w:rsidRPr="00BD29FF">
        <w:rPr>
          <w:rFonts w:ascii="Times New Roman" w:hAnsi="Times New Roman" w:cs="Times New Roman"/>
          <w:bCs/>
          <w:sz w:val="20"/>
          <w:lang w:val="en-GB"/>
        </w:rPr>
        <w:t xml:space="preserve"> Rahman</w:t>
      </w:r>
      <w:r w:rsidR="00680716" w:rsidRPr="00BD29FF">
        <w:rPr>
          <w:rStyle w:val="FootnoteReference"/>
          <w:rFonts w:ascii="Times New Roman" w:hAnsi="Times New Roman" w:cs="Times New Roman"/>
          <w:bCs/>
          <w:sz w:val="20"/>
          <w:lang w:val="en-GB"/>
        </w:rPr>
        <w:footnoteReference w:id="2"/>
      </w:r>
      <w:r w:rsidR="00694711" w:rsidRPr="00BD29FF">
        <w:rPr>
          <w:rStyle w:val="FootnoteReference"/>
          <w:rFonts w:ascii="Times New Roman" w:hAnsi="Times New Roman" w:cs="Times New Roman"/>
          <w:bCs/>
          <w:sz w:val="20"/>
          <w:vertAlign w:val="baseline"/>
          <w:lang w:val="en-GB"/>
        </w:rPr>
        <w:t xml:space="preserve">, </w:t>
      </w:r>
      <w:r w:rsidRPr="00BD29FF">
        <w:rPr>
          <w:rFonts w:ascii="Times New Roman" w:hAnsi="Times New Roman" w:cs="Times New Roman"/>
          <w:bCs/>
          <w:sz w:val="20"/>
          <w:lang w:val="en-GB"/>
        </w:rPr>
        <w:t xml:space="preserve">and </w:t>
      </w:r>
      <w:r w:rsidRPr="00BD29FF">
        <w:rPr>
          <w:rFonts w:ascii="Times New Roman" w:hAnsi="Times New Roman" w:cs="Times New Roman"/>
          <w:bCs/>
          <w:i/>
          <w:sz w:val="20"/>
          <w:lang w:val="en-GB"/>
        </w:rPr>
        <w:t>Syahru</w:t>
      </w:r>
      <w:r w:rsidR="003A221C">
        <w:rPr>
          <w:rFonts w:ascii="Times New Roman" w:hAnsi="Times New Roman" w:cs="Times New Roman"/>
          <w:bCs/>
          <w:i/>
          <w:sz w:val="20"/>
          <w:lang w:val="en-GB"/>
        </w:rPr>
        <w:t xml:space="preserve">l </w:t>
      </w:r>
      <w:r w:rsidRPr="00BD29FF">
        <w:rPr>
          <w:rFonts w:ascii="Times New Roman" w:hAnsi="Times New Roman" w:cs="Times New Roman"/>
          <w:bCs/>
          <w:sz w:val="20"/>
          <w:lang w:val="en-GB"/>
        </w:rPr>
        <w:t>Aziana Abdul Rahman</w:t>
      </w:r>
    </w:p>
    <w:p w:rsidR="00DB3B4E" w:rsidRPr="00BD29FF" w:rsidRDefault="008E2D34" w:rsidP="008E2D34">
      <w:pPr>
        <w:spacing w:before="113"/>
        <w:rPr>
          <w:rFonts w:ascii="Times New Roman" w:hAnsi="Times New Roman" w:cs="Times New Roman"/>
          <w:bCs/>
          <w:iCs/>
          <w:sz w:val="18"/>
          <w:szCs w:val="18"/>
          <w:lang w:val="en-GB"/>
        </w:rPr>
      </w:pPr>
      <w:r w:rsidRPr="00BD29FF">
        <w:rPr>
          <w:rFonts w:ascii="Times New Roman" w:hAnsi="Times New Roman" w:cs="Times New Roman"/>
          <w:bCs/>
          <w:iCs/>
          <w:sz w:val="18"/>
          <w:szCs w:val="18"/>
          <w:lang w:val="en-GB"/>
        </w:rPr>
        <w:t>Department of Manufacturing and Industrial Engineering, Faculty of Mechanical and Manufacturing Engineering, Universiti</w:t>
      </w:r>
      <w:r w:rsidR="003A221C">
        <w:rPr>
          <w:rFonts w:ascii="Times New Roman" w:hAnsi="Times New Roman" w:cs="Times New Roman"/>
          <w:bCs/>
          <w:iCs/>
          <w:sz w:val="18"/>
          <w:szCs w:val="18"/>
          <w:lang w:val="en-GB"/>
        </w:rPr>
        <w:t xml:space="preserve"> </w:t>
      </w:r>
      <w:r w:rsidRPr="00BD29FF">
        <w:rPr>
          <w:rFonts w:ascii="Times New Roman" w:hAnsi="Times New Roman" w:cs="Times New Roman"/>
          <w:bCs/>
          <w:iCs/>
          <w:sz w:val="18"/>
          <w:szCs w:val="18"/>
          <w:lang w:val="en-GB"/>
        </w:rPr>
        <w:t>Tun</w:t>
      </w:r>
      <w:r w:rsidR="003A221C">
        <w:rPr>
          <w:rFonts w:ascii="Times New Roman" w:hAnsi="Times New Roman" w:cs="Times New Roman"/>
          <w:bCs/>
          <w:iCs/>
          <w:sz w:val="18"/>
          <w:szCs w:val="18"/>
          <w:lang w:val="en-GB"/>
        </w:rPr>
        <w:t xml:space="preserve"> </w:t>
      </w:r>
      <w:r w:rsidRPr="00BD29FF">
        <w:rPr>
          <w:rFonts w:ascii="Times New Roman" w:hAnsi="Times New Roman" w:cs="Times New Roman"/>
          <w:bCs/>
          <w:iCs/>
          <w:sz w:val="18"/>
          <w:szCs w:val="18"/>
          <w:lang w:val="en-GB"/>
        </w:rPr>
        <w:t>Hussien Onn Malaysia (UTHM), 86400 BatuPahat, Johor, Malaysia</w:t>
      </w:r>
    </w:p>
    <w:p w:rsidR="00985719" w:rsidRDefault="00DB3B4E" w:rsidP="009150F4">
      <w:pPr>
        <w:spacing w:before="454" w:after="567"/>
        <w:ind w:left="964" w:right="964"/>
        <w:jc w:val="both"/>
        <w:rPr>
          <w:rFonts w:ascii="Times New Roman" w:hAnsi="Times New Roman" w:cs="Times New Roman"/>
          <w:sz w:val="18"/>
          <w:szCs w:val="18"/>
          <w:lang w:val="en-GB"/>
        </w:rPr>
      </w:pPr>
      <w:r w:rsidRPr="00BD29FF">
        <w:rPr>
          <w:rFonts w:ascii="Arial" w:hAnsi="Arial" w:cs="Arial"/>
          <w:b/>
          <w:sz w:val="18"/>
          <w:szCs w:val="18"/>
          <w:lang w:val="en-GB"/>
        </w:rPr>
        <w:t>Abstract.</w:t>
      </w:r>
      <w:r w:rsidR="00F32088" w:rsidRPr="00BD29FF">
        <w:rPr>
          <w:rFonts w:ascii="Times New Roman" w:hAnsi="Times New Roman" w:cs="Times New Roman"/>
          <w:sz w:val="18"/>
          <w:szCs w:val="18"/>
          <w:lang w:val="en-GB"/>
        </w:rPr>
        <w:t>The Entire B</w:t>
      </w:r>
      <w:r w:rsidR="00F32088" w:rsidRPr="00F24848">
        <w:rPr>
          <w:rFonts w:ascii="Times New Roman" w:hAnsi="Times New Roman" w:cs="Times New Roman"/>
          <w:sz w:val="18"/>
          <w:szCs w:val="18"/>
          <w:lang w:val="en-GB"/>
        </w:rPr>
        <w:t xml:space="preserve">ody Risk Assessment </w:t>
      </w:r>
      <w:r w:rsidR="00985719" w:rsidRPr="00F24848">
        <w:rPr>
          <w:rFonts w:ascii="Times New Roman" w:hAnsi="Times New Roman" w:cs="Times New Roman"/>
          <w:sz w:val="18"/>
          <w:szCs w:val="18"/>
          <w:lang w:val="en-GB"/>
        </w:rPr>
        <w:t>(ENBORA) method is a new</w:t>
      </w:r>
      <w:r w:rsidR="00F32088" w:rsidRPr="00F24848">
        <w:rPr>
          <w:rFonts w:ascii="Times New Roman" w:hAnsi="Times New Roman" w:cs="Times New Roman"/>
          <w:sz w:val="18"/>
          <w:szCs w:val="18"/>
          <w:lang w:val="en-GB"/>
        </w:rPr>
        <w:t xml:space="preserve"> observational method used to evaluate risk factors linked to Work-related Musc</w:t>
      </w:r>
      <w:r w:rsidR="00AE42BB" w:rsidRPr="00F24848">
        <w:rPr>
          <w:rFonts w:ascii="Times New Roman" w:hAnsi="Times New Roman" w:cs="Times New Roman"/>
          <w:sz w:val="18"/>
          <w:szCs w:val="18"/>
          <w:lang w:val="en-GB"/>
        </w:rPr>
        <w:t xml:space="preserve">uloskeletal Disorders (WMSDs). Hence, </w:t>
      </w:r>
      <w:r w:rsidR="00F32088" w:rsidRPr="00F24848">
        <w:rPr>
          <w:rFonts w:ascii="Times New Roman" w:hAnsi="Times New Roman" w:cs="Times New Roman"/>
          <w:sz w:val="18"/>
          <w:szCs w:val="18"/>
          <w:lang w:val="en-GB"/>
        </w:rPr>
        <w:t>this study aims to verify the inter-rater reliability of the EN</w:t>
      </w:r>
      <w:r w:rsidR="00985719" w:rsidRPr="00F24848">
        <w:rPr>
          <w:rFonts w:ascii="Times New Roman" w:hAnsi="Times New Roman" w:cs="Times New Roman"/>
          <w:sz w:val="18"/>
          <w:szCs w:val="18"/>
          <w:lang w:val="en-GB"/>
        </w:rPr>
        <w:t>BORA method. 16 raters were</w:t>
      </w:r>
      <w:r w:rsidR="00F32088" w:rsidRPr="00F24848">
        <w:rPr>
          <w:rFonts w:ascii="Times New Roman" w:hAnsi="Times New Roman" w:cs="Times New Roman"/>
          <w:sz w:val="18"/>
          <w:szCs w:val="18"/>
          <w:lang w:val="en-GB"/>
        </w:rPr>
        <w:t xml:space="preserve"> involved in </w:t>
      </w:r>
      <w:r w:rsidR="00985719" w:rsidRPr="00F24848">
        <w:rPr>
          <w:rFonts w:ascii="Times New Roman" w:hAnsi="Times New Roman" w:cs="Times New Roman"/>
          <w:sz w:val="18"/>
          <w:szCs w:val="18"/>
          <w:lang w:val="en-GB"/>
        </w:rPr>
        <w:t xml:space="preserve">a </w:t>
      </w:r>
      <w:r w:rsidR="00F32088" w:rsidRPr="00F24848">
        <w:rPr>
          <w:rFonts w:ascii="Times New Roman" w:hAnsi="Times New Roman" w:cs="Times New Roman"/>
          <w:sz w:val="18"/>
          <w:szCs w:val="18"/>
          <w:lang w:val="en-GB"/>
        </w:rPr>
        <w:t>one day ENBORA training session. All of the participants need</w:t>
      </w:r>
      <w:r w:rsidR="00985719" w:rsidRPr="00F24848">
        <w:rPr>
          <w:rFonts w:ascii="Times New Roman" w:hAnsi="Times New Roman" w:cs="Times New Roman"/>
          <w:sz w:val="18"/>
          <w:szCs w:val="18"/>
          <w:lang w:val="en-GB"/>
        </w:rPr>
        <w:t>ed</w:t>
      </w:r>
      <w:r w:rsidR="00F32088" w:rsidRPr="00F24848">
        <w:rPr>
          <w:rFonts w:ascii="Times New Roman" w:hAnsi="Times New Roman" w:cs="Times New Roman"/>
          <w:sz w:val="18"/>
          <w:szCs w:val="18"/>
          <w:lang w:val="en-GB"/>
        </w:rPr>
        <w:t xml:space="preserve"> to assess three different tasks using</w:t>
      </w:r>
      <w:r w:rsidR="00985719" w:rsidRPr="00F24848">
        <w:rPr>
          <w:rFonts w:ascii="Times New Roman" w:hAnsi="Times New Roman" w:cs="Times New Roman"/>
          <w:sz w:val="18"/>
          <w:szCs w:val="18"/>
          <w:lang w:val="en-GB"/>
        </w:rPr>
        <w:t xml:space="preserve"> the</w:t>
      </w:r>
      <w:r w:rsidR="00F32088" w:rsidRPr="00F24848">
        <w:rPr>
          <w:rFonts w:ascii="Times New Roman" w:hAnsi="Times New Roman" w:cs="Times New Roman"/>
          <w:sz w:val="18"/>
          <w:szCs w:val="18"/>
          <w:lang w:val="en-GB"/>
        </w:rPr>
        <w:t xml:space="preserve"> ENBORA paper checklist. The tasks involved were; lifting from pallet to conveyor for Task A, creels of wire onto spindles for Task B, and bottling line inspection for Task C. The Cohen’s Kappa (K) coefficient and percentage of agreement were calculated.</w:t>
      </w:r>
      <w:r w:rsidR="00985719" w:rsidRPr="00F24848">
        <w:rPr>
          <w:rFonts w:ascii="Times New Roman" w:hAnsi="Times New Roman" w:cs="Times New Roman"/>
          <w:sz w:val="18"/>
          <w:szCs w:val="18"/>
          <w:lang w:val="en-GB"/>
        </w:rPr>
        <w:t xml:space="preserve"> As a result, the inter-rater reliability for Task A has a Cohen’s Kappa value (K) of 0.88, while Task B and Task C achieved K=0.91 which indicated very good agreement. This study found that trained practitioners can reliably use the ENBORA</w:t>
      </w:r>
      <w:r w:rsidR="00985719" w:rsidRPr="00985719">
        <w:rPr>
          <w:rFonts w:ascii="Times New Roman" w:hAnsi="Times New Roman" w:cs="Times New Roman"/>
          <w:sz w:val="18"/>
          <w:szCs w:val="18"/>
          <w:lang w:val="en-GB"/>
        </w:rPr>
        <w:t xml:space="preserve"> method to assess exposure to risk factors related to WMSDs.</w:t>
      </w:r>
    </w:p>
    <w:p w:rsidR="005C62E6" w:rsidRPr="00BD29FF" w:rsidRDefault="003A221C" w:rsidP="005C62E6">
      <w:pPr>
        <w:spacing w:before="340" w:after="170"/>
        <w:jc w:val="both"/>
        <w:rPr>
          <w:rFonts w:ascii="Arial" w:hAnsi="Arial" w:cs="Arial"/>
          <w:b/>
          <w:caps/>
          <w:szCs w:val="24"/>
          <w:lang w:val="en-GB"/>
        </w:rPr>
      </w:pPr>
      <w:r>
        <w:rPr>
          <w:rFonts w:ascii="Arial" w:hAnsi="Arial" w:cs="Arial"/>
          <w:b/>
          <w:szCs w:val="24"/>
          <w:lang w:val="en-GB"/>
        </w:rPr>
        <w:t xml:space="preserve">1 </w:t>
      </w:r>
      <w:r w:rsidR="008E2D34" w:rsidRPr="003A221C">
        <w:rPr>
          <w:rFonts w:ascii="Arial" w:hAnsi="Arial" w:cs="Arial"/>
          <w:b/>
          <w:szCs w:val="24"/>
          <w:lang w:val="en-GB"/>
        </w:rPr>
        <w:t>Introduction</w:t>
      </w:r>
    </w:p>
    <w:p w:rsidR="00F32088" w:rsidRPr="00BD29FF" w:rsidRDefault="00F32088" w:rsidP="00CE2F42">
      <w:pPr>
        <w:jc w:val="both"/>
        <w:rPr>
          <w:rFonts w:ascii="Times" w:hAnsi="Times"/>
          <w:sz w:val="20"/>
          <w:lang w:val="en-GB"/>
        </w:rPr>
      </w:pPr>
      <w:r w:rsidRPr="00F24848">
        <w:rPr>
          <w:rFonts w:ascii="Times" w:hAnsi="Times"/>
          <w:sz w:val="20"/>
          <w:lang w:val="en-GB"/>
        </w:rPr>
        <w:t>Work-related musculo</w:t>
      </w:r>
      <w:r w:rsidR="00D31B33" w:rsidRPr="00F24848">
        <w:rPr>
          <w:rFonts w:ascii="Times" w:hAnsi="Times"/>
          <w:sz w:val="20"/>
          <w:lang w:val="en-GB"/>
        </w:rPr>
        <w:t>skeletal disorders (WMSDs) fall</w:t>
      </w:r>
      <w:r w:rsidRPr="00F24848">
        <w:rPr>
          <w:rFonts w:ascii="Times" w:hAnsi="Times"/>
          <w:sz w:val="20"/>
          <w:lang w:val="en-GB"/>
        </w:rPr>
        <w:t xml:space="preserve"> under the category of  musculoskeletal disorders (MSDs) that are </w:t>
      </w:r>
      <w:r w:rsidR="00D31B33" w:rsidRPr="00F24848">
        <w:rPr>
          <w:rFonts w:ascii="Times" w:hAnsi="Times"/>
          <w:sz w:val="20"/>
          <w:lang w:val="en-GB"/>
        </w:rPr>
        <w:t>caused by occupational exposure</w:t>
      </w:r>
      <w:r w:rsidRPr="00F24848">
        <w:rPr>
          <w:rFonts w:ascii="Times" w:hAnsi="Times"/>
          <w:sz w:val="20"/>
          <w:lang w:val="en-GB"/>
        </w:rPr>
        <w:t xml:space="preserve"> which could be the reason for work restriction, work-tim</w:t>
      </w:r>
      <w:r w:rsidR="0004497B" w:rsidRPr="00F24848">
        <w:rPr>
          <w:rFonts w:ascii="Times" w:hAnsi="Times"/>
          <w:sz w:val="20"/>
          <w:lang w:val="en-GB"/>
        </w:rPr>
        <w:t>e loss, and at times work leave</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"DOI" : "10.1080/00140130210153487", "ISSN" : "0014-0139", "abstract" : "Work-related musculoskeletal disorders (WRMSDs) by de\u00aenition are a subset of musculoskeletal disorders (MSDs) that arise out of occupational exposures. While traditional exposure assessment techniques have proved to be successful in identifying ergonomic exposures that are epidemiologically linked to these disorders, some are troubled by the lack of one-to-one correspondence between speci\u00aec occupational exposure pro\u00aeles and speci\u00aec MSDs. In the absence of more sophisticated hypotheses that might explain the occurrence of WRMSDs in a variety of exposure patterns, the aetiologic relationships may (again) be called into question. Another unanswered question is whether speci\u00aec types of WRMSDs have qualitatively diVerent exposure-response relationships. A clearer understanding of the underlying pathomechanisms associated with speci\u00aec WRMSDs could help future researchers better determine how and when various occupational exposure pro\u00aeles become pathogenic. Such knowledge could also be used to design exposure assessment tools to capture exposure information more relevant to the risk of WRMSDs. The main goals of this paper are to summarize several recently described pathomechanisms, most of which have been discussed primarily in clinical and experimental literature that might not be widely read by occupational health scientists. Suggestions are made as to how future research could evaluate whether these phenomena are relevant to the eVects of physical exposures and the underlying disease processes of common WRMSDs.", "author" : [ { "dropping-particle" : "", "family" : "Forde{{", "given" : "Martin S", "non-dropping-particle" : "", "parse-names" : false, "suffix" : "" }, { "dropping-particle" : "", "family" : "Punnett{", "given" : "Laura", "non-dropping-particle" : "", "parse-names" : false, "suffix" : "" }, { "dropping-particle" : "", "family" : "Wegman{", "given" : "David H", "non-dropping-particle" : "", "parse-names" : false, "suffix" : "" } ], "id" : "ITEM-1", "issue" : "July 2014", "issued" : { "date-parts" : [ [ "2002" ] ] }, "title" : "Pathomechanisms of work-related musculoskeletal disorders: conceptual issues", "type" : "article-journal" }, "uris" : [ "http://www.mendeley.com/documents/?uuid=e3d460d5-8ea8-4b64-af83-77b80fe4defb" ] } ], "mendeley" : { "formattedCitation" : "[1]", "plainTextFormattedCitation" : "[1]", "previouslyFormattedCitation" : "[1]"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w:t>
      </w:r>
      <w:r w:rsidR="00BF374D" w:rsidRPr="00F24848">
        <w:rPr>
          <w:rFonts w:ascii="Times" w:hAnsi="Times"/>
          <w:sz w:val="20"/>
          <w:lang w:val="en-GB"/>
        </w:rPr>
        <w:fldChar w:fldCharType="end"/>
      </w:r>
      <w:r w:rsidR="00851B46" w:rsidRPr="00F24848">
        <w:rPr>
          <w:rFonts w:ascii="Times" w:hAnsi="Times"/>
          <w:sz w:val="20"/>
          <w:lang w:val="en-GB"/>
        </w:rPr>
        <w:t xml:space="preserve">. </w:t>
      </w:r>
      <w:r w:rsidRPr="00F24848">
        <w:rPr>
          <w:rFonts w:ascii="Times" w:hAnsi="Times"/>
          <w:sz w:val="20"/>
          <w:lang w:val="en-GB"/>
        </w:rPr>
        <w:t>It has been reported that WMSDs can affect a person’s quality of life and career with frequent absenteeism at work, increasing work restriction, job hopping, or even incapability compared to the other group</w:t>
      </w:r>
      <w:r w:rsidR="00D31B33" w:rsidRPr="00F24848">
        <w:rPr>
          <w:rFonts w:ascii="Times" w:hAnsi="Times"/>
          <w:sz w:val="20"/>
          <w:lang w:val="en-GB"/>
        </w:rPr>
        <w:t>s</w:t>
      </w:r>
      <w:r w:rsidRPr="00F24848">
        <w:rPr>
          <w:rFonts w:ascii="Times" w:hAnsi="Times"/>
          <w:sz w:val="20"/>
          <w:lang w:val="en-GB"/>
        </w:rPr>
        <w:t xml:space="preserve"> of diseases with a huge econo</w:t>
      </w:r>
      <w:r w:rsidR="00D31B33" w:rsidRPr="00F24848">
        <w:rPr>
          <w:rFonts w:ascii="Times" w:hAnsi="Times"/>
          <w:sz w:val="20"/>
          <w:lang w:val="en-GB"/>
        </w:rPr>
        <w:t>mic toll on oneself, the organis</w:t>
      </w:r>
      <w:r w:rsidRPr="00F24848">
        <w:rPr>
          <w:rFonts w:ascii="Times" w:hAnsi="Times"/>
          <w:sz w:val="20"/>
          <w:lang w:val="en-GB"/>
        </w:rPr>
        <w:t>ation, and the public all together</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"author" : [ { "dropping-particle" : "", "family" : "Kemmlert", "given" : "K", "non-dropping-particle" : "", "parse-names" : false, "suffix" : "" } ], "container-title" : "Solna [etc.]: National Institute of Occupational Health [etc]", "id" : "ITEM-1", "issued" : { "date-parts" : [ [ "1994" ] ] }, "title" : "Labour inspectorate investigation for the prevention of occupational musculo-skeletal injuries", "type" : "article-journal", "volume" : "346" }, "uris" : [ "http://www.mendeley.com/documents/?uuid=4297efd7-0dfe-4a8d-856a-831e6959b9b0" ] } ], "mendeley" : { "formattedCitation" : "[2]", "plainTextFormattedCitation" : "[2]", "previouslyFormattedCitation" : "[2]"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[2]</w:t>
      </w:r>
      <w:r w:rsidR="00BF374D" w:rsidRPr="00F24848">
        <w:rPr>
          <w:rFonts w:ascii="Times" w:hAnsi="Times"/>
          <w:sz w:val="20"/>
          <w:lang w:val="en-GB"/>
        </w:rPr>
        <w:fldChar w:fldCharType="end"/>
      </w:r>
      <w:r w:rsidR="00C6237F" w:rsidRPr="00F24848">
        <w:rPr>
          <w:rFonts w:ascii="Times" w:hAnsi="Times"/>
          <w:sz w:val="20"/>
          <w:lang w:val="en-GB"/>
        </w:rPr>
        <w:t xml:space="preserve">. </w:t>
      </w:r>
      <w:r w:rsidRPr="00F24848">
        <w:rPr>
          <w:rFonts w:ascii="Times" w:hAnsi="Times"/>
          <w:sz w:val="20"/>
          <w:lang w:val="en-GB"/>
        </w:rPr>
        <w:t>It is a condition that affects the nerves, tendons, muscles and the body’s supporting structures which are triggered by cumulative trauma associated with non-neutral body postures, sustained static postures, repetitive motions, as well as psychosocial factors and individual characteristics</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"DOI" : "10.1016/j.jvc.2014.01.001", "ISSN" : "18750834", "PMID" : "24560837", "abstract" : "Objective Assess the relationship between work-related musculoskeletal disorders (WRMSDs) and performing echocardiograms (ECHOS) in veterinarians with a cardiology focus. Methods Prospective study. A survey was submitted to the ACVIM veterinary cardiology list-serve regarding pain associated with performing ECHOS (ECHOPain). Associations of demographic and work habit variables with ECHOPain and WRMSD were evaluated with logistic regression. Results Respondents included 198 of 487 (41%) members, evenly divided in gender. Most (69%) were 31-50 years old. Almost all (96%) currently perform ECHOS, usually 4-5 ECHOS/week (74%), every week except vacation (93%). ECHOPain was reported by 87 people (44%), which was classified as mild/occasional in 77%, frequent/moderate in 21%, and frequent/severe in 2%. Of those with ECHOPain, 52% reported ECHOS as the sole cause, 31% reported ECHOS aggravating pain from a pre-existing problem, and 17% reported unrelated pain. The most common areas of pain were neck (54%), shoulder (52%), wrist (42%), and back (35%) with 78% reporting pain at 2 or more sites. Pain impaired job performance in 36%, required sick leave or disability in 12%, required reduction in ECHOS/day in 36%, and affected lifestyle in 22%. Ten percent of people have been diagnosed with WRMSD, of which 21% have a permanent disability. Both gender and weeks/year predicted pain with ECHOS (??2(3) = 11.38, P = 0.01). The odds ratio for females versus males with ECHOPain was 2.23. Conclusion ECHOPain is common (44%) in veterinary echocardiographers, is significantly associated with gender, and affects job performance for over one-third of pain sufferers. ?? 2013 Elsevier B.V. All rights reserved.", "author" : [ { "dropping-particle" : "", "family" : "Macdonald", "given" : "Kristin", "non-dropping-particle" : "", "parse-names" : false, "suffix" : "" }, { "dropping-particle" : "", "family" : "King", "given" : "Deborah", "non-dropping-particle" : "", "parse-names" : false, "suffix" : "" } ], "container-title" : "Journal of Veterinary Cardiology", "id" : "ITEM-1", "issue" : "1", "issued" : { "date-parts" : [ [ "2014" ] ] }, "page" : "27-37", "publisher" : "Elsevier B.V", "title" : "Work-related musculoskeletal disorders in veterinary echocardiographers: A cross-sectional study on prevalence and risk factors", "type" : "article-journal", "volume" : "16" }, "uris" : [ "http://www.mendeley.com/documents/?uuid=2aa2d705-484f-4a06-b3bb-10aaba07803d" ] } ], "mendeley" : { "formattedCitation" : "[3]", "plainTextFormattedCitation" : "[3]", "previouslyFormattedCitation" : "[3]"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[3]</w:t>
      </w:r>
      <w:r w:rsidR="00BF374D" w:rsidRPr="00F24848">
        <w:rPr>
          <w:rFonts w:ascii="Times" w:hAnsi="Times"/>
          <w:sz w:val="20"/>
          <w:lang w:val="en-GB"/>
        </w:rPr>
        <w:fldChar w:fldCharType="end"/>
      </w:r>
      <w:r w:rsidR="00851B46" w:rsidRPr="00F24848">
        <w:rPr>
          <w:rFonts w:ascii="Times" w:hAnsi="Times"/>
          <w:sz w:val="20"/>
          <w:lang w:val="en-GB"/>
        </w:rPr>
        <w:t xml:space="preserve">. </w:t>
      </w:r>
      <w:r w:rsidR="00D31B33" w:rsidRPr="00F24848">
        <w:rPr>
          <w:rFonts w:ascii="Times" w:hAnsi="Times"/>
          <w:sz w:val="20"/>
          <w:lang w:val="en-GB"/>
        </w:rPr>
        <w:t>Many job sectors which have contributed to</w:t>
      </w:r>
      <w:r w:rsidR="00914EE3" w:rsidRPr="00F24848">
        <w:rPr>
          <w:rFonts w:ascii="Times" w:hAnsi="Times"/>
          <w:sz w:val="20"/>
          <w:lang w:val="en-GB"/>
        </w:rPr>
        <w:t xml:space="preserve"> WMSDs</w:t>
      </w:r>
      <w:r w:rsidR="00D31B33" w:rsidRPr="00F24848">
        <w:rPr>
          <w:rFonts w:ascii="Times" w:hAnsi="Times"/>
          <w:sz w:val="20"/>
          <w:lang w:val="en-GB"/>
        </w:rPr>
        <w:t xml:space="preserve"> include</w:t>
      </w:r>
      <w:r w:rsidR="00914EE3" w:rsidRPr="00F24848">
        <w:rPr>
          <w:rFonts w:ascii="Times" w:hAnsi="Times"/>
          <w:sz w:val="20"/>
          <w:lang w:val="en-GB"/>
        </w:rPr>
        <w:t xml:space="preserve"> car tyre service centre</w:t>
      </w:r>
      <w:r w:rsidR="00D31B33" w:rsidRPr="00F24848">
        <w:rPr>
          <w:rFonts w:ascii="Times" w:hAnsi="Times"/>
          <w:sz w:val="20"/>
          <w:lang w:val="en-GB"/>
        </w:rPr>
        <w:t>s</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"ISBN" : "0300-8134", "ISSN" : "03008134", "PMID" : "21922791", "abstract" : "The purpose of this study was to investigate the prevalence of body part symptoms and sources of injury/discomfort among workers in a car tyre service centre. Questionnaire survey and interview session were used to identify the level of body discomfort areas and sources of injury or discomfort. From questionnaire survey findings, 12 of respondents have body discomfort in the neck (66.7%%), shoulder (83.3%), elbow/forearm (75%), hand/wrist (91.7%), knee (58.3%), lower leg (75%), ankle/foot (33%) and lower back (30%). The main sources of injury/discomfort in the workplace were poor body posture (75%), bending the back (75%), highly repetitive motions (75%), lifting heavy objects (83.3%), the long-term standing (66.7%), long-term squatting (58.3%), bending the neck (66.7%) and high hand force (58.3%). About 50% reported that poor workplace design also contributed to injury while 41.7% mentioned the use of hand tools. To address modifying the ergonomic hazards, engineering controls and administrative controls can be used. The study will be useful to ergonomists, researchers, consultants, workshop managers, maintenance workers and others concerned with identifying body part symptoms and sources of injury/discomfort at the workplace.", "author" : [ { "dropping-particle" : "", "family" : "Abd Rahman", "given" : "Mohd Nasrull", "non-dropping-particle" : "", "parse-names" : false, "suffix" : "" }, { "dropping-particle" : "", "family" : "Aziz", "given" : "Faieza Abdul", "non-dropping-particle" : "", "parse-names" : false, "suffix" : "" }, { "dropping-particle" : "", "family" : "Yusuff", "given" : "Rosnah Mohd", "non-dropping-particle" : "", "parse-names" : false, "suffix" : "" } ], "container-title" : "Journal of human ergology", "id" : "ITEM-1", "issue" : "1", "issued" : { "date-parts" : [ [ "2010" ] ] }, "page" : "53-56", "title" : "Survey of body part symptoms among workers in a car tyre service centre.", "type" : "article-journal", "volume" : "39" }, "uris" : [ "http://www.mendeley.com/documents/?uuid=9d54b5d3-a260-4cc7-9db7-7680114631ca" ] } ], "mendeley" : { "formattedCitation" : "[4]", "plainTextFormattedCitation" : "[4]", "previouslyFormattedCitation" : "[4]"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[4]</w:t>
      </w:r>
      <w:r w:rsidR="00BF374D" w:rsidRPr="00F24848">
        <w:rPr>
          <w:rFonts w:ascii="Times" w:hAnsi="Times"/>
          <w:sz w:val="20"/>
          <w:lang w:val="en-GB"/>
        </w:rPr>
        <w:fldChar w:fldCharType="end"/>
      </w:r>
      <w:r w:rsidR="00914EE3" w:rsidRPr="00F24848">
        <w:rPr>
          <w:rFonts w:ascii="Times" w:hAnsi="Times"/>
          <w:sz w:val="20"/>
          <w:lang w:val="en-GB"/>
        </w:rPr>
        <w:t xml:space="preserve">, </w:t>
      </w:r>
      <w:r w:rsidR="00B40D4F" w:rsidRPr="00F24848">
        <w:rPr>
          <w:rFonts w:ascii="Times" w:hAnsi="Times"/>
          <w:sz w:val="20"/>
          <w:lang w:val="en-GB"/>
        </w:rPr>
        <w:t xml:space="preserve">mould making manufacturing industry </w:t>
      </w:r>
      <w:r w:rsidR="00BF374D" w:rsidRPr="00F24848">
        <w:rPr>
          <w:rFonts w:ascii="Times" w:hAnsi="Times"/>
          <w:sz w:val="20"/>
          <w:lang w:val="en-GB"/>
        </w:rPr>
        <w:fldChar w:fldCharType="begin" w:fldLock="1"/>
      </w:r>
      <w:r w:rsidR="00B40D4F" w:rsidRPr="00F24848">
        <w:rPr>
          <w:rFonts w:ascii="Times" w:hAnsi="Times"/>
          <w:sz w:val="20"/>
          <w:lang w:val="en-GB"/>
        </w:rPr>
        <w:instrText>ADDIN CSL_CITATION { "citationItems" : [ { "id" : "ITEM-1", "itemData" : { "ISSN" : "1819-6608", "author" : [ { "dropping-particle" : "", "family" : "Rahman", "given" : "Abd", "non-dropping-particle" : "", "parse-names" : false, "suffix" : "" }, { "dropping-particle" : "", "family" : "Nasrull", "given" : "Mohd", "non-dropping-particle" : "", "parse-names" : false, "suffix" : "" }, { "dropping-particle" : "", "family" : "Haq", "given" : "Abdul", "non-dropping-particle" : "", "parse-names" : false, "suffix" : "" }, { "dropping-particle" : "", "family" : "Haq", "given" : "Reazul", "non-dropping-particle" : "", "parse-names" : false, "suffix" : "" }, { "dropping-particle" : "", "family" : "Hassan", "given" : "Mohd Fahrul", "non-dropping-particle" : "", "parse-names" : false, "suffix" : "" }, { "dropping-particle" : "", "family" : "Arifin", "given" : "Tajul", "non-dropping-particle" : "", "parse-names" : false, "suffix" : "" }, { "dropping-particle" : "", "family" : "Mubarak", "given" : "Ahmad", "non-dropping-particle" : "", "parse-names" : false, "suffix" : "" }, { "dropping-particle" : "", "family" : "Yunos", "given" : "Muhamad Zaini", "non-dropping-particle" : "", "parse-names" : false, "suffix" : "" }, { "dropping-particle" : "", "family" : "Bakar", "given" : "Syed Abu", "non-dropping-particle" : "", "parse-names" : false, "suffix" : "" }, { "dropping-particle" : "", "family" : "Adzila", "given" : "Sharifah", "non-dropping-particle" : "", "parse-names" : false, "suffix" : "" } ], "container-title" : "ARPN Journal of Engineering and Applied Sciences", "id" : "ITEM-1", "issue" : "15", "issued" : { "date-parts" : [ [ "2015" ] ] }, "page" : "6269-6273", "publisher" : "Asian Research Publishing Network (ARPN)", "title" : "Musculoskeletal discomfort among workers in mould making manufacturing industry", "type" : "article-journal", "volume" : "10" }, "uris" : [ "http://www.mendeley.com/documents/?uuid=2b10d440-8a8f-4ee4-841c-59ffcf04a864" ] } ], "mendeley" : { "formattedCitation" : "[5]", "plainTextFormattedCitation" : "[5]", "previouslyFormattedCitation" : "[5]" }, "properties" : { "noteIndex" : 0 }, "schema" : "https://github.com/citation-style-language/schema/raw/master/csl-citation.json" }</w:instrText>
      </w:r>
      <w:r w:rsidR="00BF374D" w:rsidRPr="00F24848">
        <w:rPr>
          <w:rFonts w:ascii="Times" w:hAnsi="Times"/>
          <w:sz w:val="20"/>
          <w:lang w:val="en-GB"/>
        </w:rPr>
        <w:fldChar w:fldCharType="separate"/>
      </w:r>
      <w:r w:rsidR="004F4A5E" w:rsidRPr="00F24848">
        <w:rPr>
          <w:rFonts w:ascii="Times" w:hAnsi="Times"/>
          <w:noProof/>
          <w:sz w:val="20"/>
          <w:lang w:val="en-GB"/>
        </w:rPr>
        <w:t>[5]</w:t>
      </w:r>
      <w:r w:rsidR="00BF374D" w:rsidRPr="00F24848">
        <w:rPr>
          <w:rFonts w:ascii="Times" w:hAnsi="Times"/>
          <w:sz w:val="20"/>
          <w:lang w:val="en-GB"/>
        </w:rPr>
        <w:fldChar w:fldCharType="end"/>
      </w:r>
      <w:r w:rsidR="0018487E">
        <w:rPr>
          <w:rFonts w:ascii="Times" w:hAnsi="Times"/>
          <w:sz w:val="20"/>
          <w:lang w:val="en-GB"/>
        </w:rPr>
        <w:t xml:space="preserve"> </w:t>
      </w:r>
      <w:r w:rsidR="00914EE3" w:rsidRPr="00F24848">
        <w:rPr>
          <w:rFonts w:ascii="Times" w:hAnsi="Times"/>
          <w:sz w:val="20"/>
          <w:lang w:val="en-GB"/>
        </w:rPr>
        <w:t xml:space="preserve">and </w:t>
      </w:r>
      <w:r w:rsidR="00D31B33" w:rsidRPr="00F24848">
        <w:rPr>
          <w:rFonts w:ascii="Times" w:hAnsi="Times"/>
          <w:sz w:val="20"/>
          <w:lang w:val="en-GB"/>
        </w:rPr>
        <w:t xml:space="preserve">the </w:t>
      </w:r>
      <w:r w:rsidR="00B40D4F" w:rsidRPr="00F24848">
        <w:rPr>
          <w:rFonts w:ascii="Times" w:hAnsi="Times"/>
          <w:sz w:val="20"/>
          <w:lang w:val="en-GB"/>
        </w:rPr>
        <w:t>construction</w:t>
      </w:r>
      <w:r w:rsidR="00B40D4F" w:rsidRPr="00BD29FF">
        <w:rPr>
          <w:rFonts w:ascii="Times" w:hAnsi="Times"/>
          <w:sz w:val="20"/>
          <w:lang w:val="en-GB"/>
        </w:rPr>
        <w:t xml:space="preserve"> industry</w:t>
      </w:r>
      <w:r w:rsidR="0018487E">
        <w:rPr>
          <w:rFonts w:ascii="Times" w:hAnsi="Times"/>
          <w:sz w:val="20"/>
          <w:lang w:val="en-GB"/>
        </w:rPr>
        <w:t xml:space="preserve"> </w:t>
      </w:r>
      <w:r w:rsidR="00BF374D" w:rsidRPr="00BD29FF">
        <w:rPr>
          <w:rFonts w:ascii="Times" w:hAnsi="Times"/>
          <w:sz w:val="20"/>
          <w:lang w:val="en-GB"/>
        </w:rPr>
        <w:fldChar w:fldCharType="begin" w:fldLock="1"/>
      </w:r>
      <w:r w:rsidR="00B40D4F" w:rsidRPr="00BD29FF">
        <w:rPr>
          <w:rFonts w:ascii="Times" w:hAnsi="Times"/>
          <w:sz w:val="20"/>
          <w:lang w:val="en-GB"/>
        </w:rPr>
        <w:instrText>ADDIN CSL_CITATION { "citationItems" : [ { "id" : "ITEM-1", "itemData" : { "author" : [ { "dropping-particle" : "", "family" : "rahman M.N.A", "given" : "RANI M.R.A and Rohani J.F", "non-dropping-particle" : "", "parse-names" : false, "suffix" : "" } ], "id" : "ITEM-1", "issued" : { "date-parts" : [ [ "0" ] ] }, "title" : "WORK PRESS DR NASRULL.pdf", "type" : "article" }, "uris" : [ "http://www.mendeley.com/documents/?uuid=67eb6343-f9fe-470d-bf1c-369cda2fa9eb" ] } ], "mendeley" : { "formattedCitation" : "[6]", "plainTextFormattedCitation" : "[6]" }, "properties" : { "noteIndex" : 0 }, "schema" : "https://github.com/citation-style-language/schema/raw/master/csl-citation.json" }</w:instrText>
      </w:r>
      <w:r w:rsidR="00BF374D" w:rsidRPr="00BD29FF">
        <w:rPr>
          <w:rFonts w:ascii="Times" w:hAnsi="Times"/>
          <w:sz w:val="20"/>
          <w:lang w:val="en-GB"/>
        </w:rPr>
        <w:fldChar w:fldCharType="separate"/>
      </w:r>
      <w:r w:rsidR="00B40D4F" w:rsidRPr="00BD29FF">
        <w:rPr>
          <w:rFonts w:ascii="Times" w:hAnsi="Times"/>
          <w:noProof/>
          <w:sz w:val="20"/>
          <w:lang w:val="en-GB"/>
        </w:rPr>
        <w:t>[6]</w:t>
      </w:r>
      <w:r w:rsidR="00BF374D" w:rsidRPr="00BD29FF">
        <w:rPr>
          <w:rFonts w:ascii="Times" w:hAnsi="Times"/>
          <w:sz w:val="20"/>
          <w:lang w:val="en-GB"/>
        </w:rPr>
        <w:fldChar w:fldCharType="end"/>
      </w:r>
      <w:r w:rsidR="00914EE3" w:rsidRPr="00BD29FF">
        <w:rPr>
          <w:rFonts w:ascii="Times" w:hAnsi="Times"/>
          <w:sz w:val="20"/>
          <w:lang w:val="en-GB"/>
        </w:rPr>
        <w:t>.</w:t>
      </w:r>
      <w:r w:rsidR="0018487E">
        <w:rPr>
          <w:rFonts w:ascii="Times" w:hAnsi="Times"/>
          <w:sz w:val="20"/>
          <w:lang w:val="en-GB"/>
        </w:rPr>
        <w:t xml:space="preserve"> </w:t>
      </w:r>
      <w:r w:rsidR="00BF374D" w:rsidRPr="00BD29FF">
        <w:rPr>
          <w:rFonts w:ascii="Times" w:hAnsi="Times"/>
          <w:sz w:val="20"/>
          <w:lang w:val="en-GB"/>
        </w:rPr>
        <w:fldChar w:fldCharType="begin" w:fldLock="1"/>
      </w:r>
      <w:r w:rsidR="00E5477F" w:rsidRPr="00BD29FF">
        <w:rPr>
          <w:rFonts w:ascii="Times" w:hAnsi="Times"/>
          <w:sz w:val="20"/>
          <w:lang w:val="en-GB"/>
        </w:rPr>
        <w:instrText>ADDIN CSL_CITATION { "citationItems" : [ { "id" : "ITEM-1", "itemData" : { "author" : [ { "dropping-particle" : "Van Der", "family" : "Beek", "given" : "Allard", "non-dropping-particle" : "", "parse-names" : false, "suffix" : "" } ], "id" : "ITEM-1", "issued" : { "date-parts" : [ [ "1999" ] ] }, "title" : "Exposure assessment strategies for work-related risk factors for musculoskeletal disorders", "type" : "article-journal" }, "uris" : [ "http://www.mendeley.com/documents/?uuid=b150066c-f939-4f9b-8ae2-534fc355ec61" ] } ], "mendeley" : { "formattedCitation" : "[7]", "manualFormatting" : "Burdorf and Beek ", "plainTextFormattedCitation" : "[7]", "previouslyFormattedCitation" : "[7]" }, "properties" : { "noteIndex" : 0 }, "schema" : "https://github.com/citation-style-language/schema/raw/master/csl-citation.json" }</w:instrText>
      </w:r>
      <w:r w:rsidR="00BF374D" w:rsidRPr="00BD29FF">
        <w:rPr>
          <w:rFonts w:ascii="Times" w:hAnsi="Times"/>
          <w:sz w:val="20"/>
          <w:lang w:val="en-GB"/>
        </w:rPr>
        <w:fldChar w:fldCharType="separate"/>
      </w:r>
      <w:r w:rsidR="00E5477F" w:rsidRPr="00BD29FF">
        <w:rPr>
          <w:rFonts w:ascii="Times" w:hAnsi="Times"/>
          <w:noProof/>
          <w:sz w:val="20"/>
          <w:lang w:val="en-GB"/>
        </w:rPr>
        <w:t xml:space="preserve">Burdorf and Beek </w:t>
      </w:r>
      <w:r w:rsidR="00BF374D" w:rsidRPr="00BD29FF">
        <w:rPr>
          <w:rFonts w:ascii="Times" w:hAnsi="Times"/>
          <w:sz w:val="20"/>
          <w:lang w:val="en-GB"/>
        </w:rPr>
        <w:fldChar w:fldCharType="end"/>
      </w:r>
      <w:r w:rsidRPr="00BD29FF">
        <w:rPr>
          <w:rFonts w:ascii="Times" w:hAnsi="Times"/>
          <w:sz w:val="20"/>
          <w:lang w:val="en-GB"/>
        </w:rPr>
        <w:t xml:space="preserve">explained that, there are three </w:t>
      </w:r>
      <w:r w:rsidR="00C609EF" w:rsidRPr="003A221C">
        <w:rPr>
          <w:rFonts w:ascii="Times" w:hAnsi="Times"/>
          <w:sz w:val="20"/>
          <w:lang w:val="en-GB"/>
        </w:rPr>
        <w:t>types</w:t>
      </w:r>
      <w:r w:rsidR="003A221C">
        <w:rPr>
          <w:rFonts w:ascii="Times" w:hAnsi="Times"/>
          <w:sz w:val="20"/>
          <w:lang w:val="en-GB"/>
        </w:rPr>
        <w:t xml:space="preserve"> </w:t>
      </w:r>
      <w:r w:rsidR="00D31B33" w:rsidRPr="00F24848">
        <w:rPr>
          <w:rFonts w:ascii="Times" w:hAnsi="Times"/>
          <w:sz w:val="20"/>
          <w:lang w:val="en-GB"/>
        </w:rPr>
        <w:t>of methods to assess</w:t>
      </w:r>
      <w:r w:rsidRPr="00F24848">
        <w:rPr>
          <w:rFonts w:ascii="Times" w:hAnsi="Times"/>
          <w:sz w:val="20"/>
          <w:lang w:val="en-GB"/>
        </w:rPr>
        <w:t xml:space="preserve"> exposu</w:t>
      </w:r>
      <w:r w:rsidR="00D31B33" w:rsidRPr="00F24848">
        <w:rPr>
          <w:rFonts w:ascii="Times" w:hAnsi="Times"/>
          <w:sz w:val="20"/>
          <w:lang w:val="en-GB"/>
        </w:rPr>
        <w:t>re to WMSD risk factors namely</w:t>
      </w:r>
      <w:r w:rsidRPr="00F24848">
        <w:rPr>
          <w:rFonts w:ascii="Times" w:hAnsi="Times"/>
          <w:sz w:val="20"/>
          <w:lang w:val="en-GB"/>
        </w:rPr>
        <w:t xml:space="preserve">; </w:t>
      </w:r>
      <w:r w:rsidRPr="00F24848">
        <w:rPr>
          <w:rFonts w:ascii="Times" w:hAnsi="Times"/>
          <w:sz w:val="20"/>
          <w:lang w:val="en-GB"/>
        </w:rPr>
        <w:lastRenderedPageBreak/>
        <w:t>subjective judgment (e.g., questionnaire and measurement scale), systematic observation, and direct measurement</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"author" : [ { "dropping-particle" : "Van Der", "family" : "Beek", "given" : "Allard", "non-dropping-particle" : "", "parse-names" : false, "suffix" : "" } ], "id" : "ITEM-1", "issued" : { "date-parts" : [ [ "1999" ] ] }, "title" : "Exposure assessment strategies for work-related risk factors for musculoskeletal disorders", "type" : "article-journal" }, "uris" : [ "http://www.mendeley.com/documents/?uuid=b150066c-f939-4f9b-8ae2-534fc355ec61" ] } ], "mendeley" : { "formattedCitation" : "[7]", "plainTextFormattedCitation" : "[7]", "previouslyFormattedCitation" : "[7]"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[7]</w:t>
      </w:r>
      <w:r w:rsidR="00BF374D" w:rsidRPr="00F24848">
        <w:rPr>
          <w:rFonts w:ascii="Times" w:hAnsi="Times"/>
          <w:sz w:val="20"/>
          <w:lang w:val="en-GB"/>
        </w:rPr>
        <w:fldChar w:fldCharType="end"/>
      </w:r>
      <w:r w:rsidRPr="00F24848">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"DOI" : "10.5271/sjweh.2876", "author" : [ { "dropping-particle" : "", "family" : "E-p", "given" : "Takala", "non-dropping-particle" : "", "parse-names" : false, "suffix" : "" }, { "dropping-particle" : "", "family" : "Pehkonen", "given" : "I", "non-dropping-particle" : "", "parse-names" : false, "suffix" : "" }, { "dropping-particle" : "", "family" : "Forsman", "given" : "M", "non-dropping-particle" : "", "parse-names" : false, "suffix" : "" }, { "dropping-particle" : "", "family" : "G-\u00e5", "given" : "Hansson", "non-dropping-particle" : "", "parse-names" : false, "suffix" : "" }, { "dropping-particle" : "", "family" : "Se", "given" : "Mathiassen", "non-dropping-particle" : "", "parse-names" : false, "suffix" : "" }, { "dropping-particle" : "", "family" : "Wp", "given" : "Neumann", "non-dropping-particle" : "", "parse-names" : false, "suffix" : "" }, { "dropping-particle" : "", "family" : "Sj\u00f8gaard", "given" : "G", "non-dropping-particle" : "", "parse-names" : false, "suffix" : "" }, { "dropping-particle" : "", "family" : "Kb", "given" : "Veiersted", "non-dropping-particle" : "", "parse-names" : false, "suffix" : "" }, { "dropping-particle" : "", "family" : "Rh", "given" : "Westgaard", "non-dropping-particle" : "", "parse-names" : false, "suffix" : "" }, { "dropping-particle" : "", "family" : "Winkel", "given" : "J", "non-dropping-particle" : "", "parse-names" : false, "suffix" : "" } ], "id" : "ITEM-1", "issue" : "1", "issued" : { "date-parts" : [ [ "2013" ] ] }, "page" : "3-24", "title" : "biomechanical exposures at work exposures at work", "type" : "article-journal", "volume" : "36" }, "uris" : [ "http://www.mendeley.com/documents/?uuid=e2e037db-a1b4-4f14-bb36-a23ae0bb7e44" ] } ], "mendeley" : { "formattedCitation" : "[8]", "manualFormatting" : "Takala et al, ", "plainTextFormattedCitation" : "[8]", "previouslyFormattedCitation" : "[8]"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 xml:space="preserve">Takala et al, </w:t>
      </w:r>
      <w:r w:rsidR="00BF374D" w:rsidRPr="00F24848">
        <w:rPr>
          <w:rFonts w:ascii="Times" w:hAnsi="Times"/>
          <w:sz w:val="20"/>
          <w:lang w:val="en-GB"/>
        </w:rPr>
        <w:fldChar w:fldCharType="end"/>
      </w:r>
      <w:r w:rsidRPr="00F24848">
        <w:rPr>
          <w:rFonts w:ascii="Times" w:hAnsi="Times"/>
          <w:sz w:val="20"/>
          <w:lang w:val="en-GB"/>
        </w:rPr>
        <w:t>claimed that the most common method used by practitioners is the observational method</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"DOI" : "10.5271/sjweh.2876", "author" : [ { "dropping-particle" : "", "family" : "E-p", "given" : "Takala", "non-dropping-particle" : "", "parse-names" : false, "suffix" : "" }, { "dropping-particle" : "", "family" : "Pehkonen", "given" : "I", "non-dropping-particle" : "", "parse-names" : false, "suffix" : "" }, { "dropping-particle" : "", "family" : "Forsman", "given" : "M", "non-dropping-particle" : "", "parse-names" : false, "suffix" : "" }, { "dropping-particle" : "", "family" : "G-\u00e5", "given" : "Hansson", "non-dropping-particle" : "", "parse-names" : false, "suffix" : "" }, { "dropping-particle" : "", "family" : "Se", "given" : "Mathiassen", "non-dropping-particle" : "", "parse-names" : false, "suffix" : "" }, { "dropping-particle" : "", "family" : "Wp", "given" : "Neumann", "non-dropping-particle" : "", "parse-names" : false, "suffix" : "" }, { "dropping-particle" : "", "family" : "Sj\u00f8gaard", "given" : "G", "non-dropping-particle" : "", "parse-names" : false, "suffix" : "" }, { "dropping-particle" : "", "family" : "Kb", "given" : "Veiersted", "non-dropping-particle" : "", "parse-names" : false, "suffix" : "" }, { "dropping-particle" : "", "family" : "Rh", "given" : "Westgaard", "non-dropping-particle" : "", "parse-names" : false, "suffix" : "" }, { "dropping-particle" : "", "family" : "Winkel", "given" : "J", "non-dropping-particle" : "", "parse-names" : false, "suffix" : "" } ], "id" : "ITEM-1", "issue" : "1", "issued" : { "date-parts" : [ [ "2013" ] ] }, "page" : "3-24", "title" : "biomechanical exposures at work exposures at work", "type" : "article-journal", "volume" : "36" }, "uris" : [ "http://www.mendeley.com/documents/?uuid=e2e037db-a1b4-4f14-bb36-a23ae0bb7e44" ] } ], "mendeley" : { "formattedCitation" : "[8]", "plainTextFormattedCitation" : "[8]", "previouslyFormattedCitation" : "[8]"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[8]</w:t>
      </w:r>
      <w:r w:rsidR="00BF374D" w:rsidRPr="00F24848">
        <w:rPr>
          <w:rFonts w:ascii="Times" w:hAnsi="Times"/>
          <w:sz w:val="20"/>
          <w:lang w:val="en-GB"/>
        </w:rPr>
        <w:fldChar w:fldCharType="end"/>
      </w:r>
      <w:r w:rsidR="00D31B33" w:rsidRPr="00F24848">
        <w:rPr>
          <w:rFonts w:ascii="Times" w:hAnsi="Times"/>
          <w:sz w:val="20"/>
          <w:lang w:val="en-GB"/>
        </w:rPr>
        <w:t xml:space="preserve">. Checklists which act as </w:t>
      </w:r>
      <w:r w:rsidRPr="00F24848">
        <w:rPr>
          <w:rFonts w:ascii="Times" w:hAnsi="Times"/>
          <w:sz w:val="20"/>
          <w:lang w:val="en-GB"/>
        </w:rPr>
        <w:t>assessment tool</w:t>
      </w:r>
      <w:r w:rsidR="00D31B33" w:rsidRPr="00F24848">
        <w:rPr>
          <w:rFonts w:ascii="Times" w:hAnsi="Times"/>
          <w:sz w:val="20"/>
          <w:lang w:val="en-GB"/>
        </w:rPr>
        <w:t>sfor</w:t>
      </w:r>
      <w:r w:rsidRPr="00F24848">
        <w:rPr>
          <w:rFonts w:ascii="Times" w:hAnsi="Times"/>
          <w:sz w:val="20"/>
          <w:lang w:val="en-GB"/>
        </w:rPr>
        <w:t xml:space="preserve"> observational method</w:t>
      </w:r>
      <w:r w:rsidR="00D31B33" w:rsidRPr="00F24848">
        <w:rPr>
          <w:rFonts w:ascii="Times" w:hAnsi="Times"/>
          <w:sz w:val="20"/>
          <w:lang w:val="en-GB"/>
        </w:rPr>
        <w:t>s</w:t>
      </w:r>
      <w:r w:rsidRPr="00F24848">
        <w:rPr>
          <w:rFonts w:ascii="Times" w:hAnsi="Times"/>
          <w:sz w:val="20"/>
          <w:lang w:val="en-GB"/>
        </w:rPr>
        <w:t xml:space="preserve"> are applicable to determine the existence and acuteness of WMSDs risk factors in </w:t>
      </w:r>
      <w:r w:rsidR="00D31B33" w:rsidRPr="00F24848">
        <w:rPr>
          <w:rFonts w:ascii="Times" w:hAnsi="Times"/>
          <w:sz w:val="20"/>
          <w:lang w:val="en-GB"/>
        </w:rPr>
        <w:t xml:space="preserve">the </w:t>
      </w:r>
      <w:r w:rsidRPr="00F24848">
        <w:rPr>
          <w:rFonts w:ascii="Times" w:hAnsi="Times"/>
          <w:sz w:val="20"/>
          <w:lang w:val="en-GB"/>
        </w:rPr>
        <w:t xml:space="preserve">workplace. Other than that, the checklists also provide ergonomic specialists that have a stable structure for the purpose of </w:t>
      </w:r>
      <w:r w:rsidR="00D31B33" w:rsidRPr="00F24848">
        <w:rPr>
          <w:rFonts w:ascii="Times" w:hAnsi="Times"/>
          <w:sz w:val="20"/>
          <w:lang w:val="en-GB"/>
        </w:rPr>
        <w:t>analysing</w:t>
      </w:r>
      <w:r w:rsidRPr="00F24848">
        <w:rPr>
          <w:rFonts w:ascii="Times" w:hAnsi="Times"/>
          <w:sz w:val="20"/>
          <w:lang w:val="en-GB"/>
        </w:rPr>
        <w:t xml:space="preserve"> of risk factors in </w:t>
      </w:r>
      <w:r w:rsidR="00D31B33" w:rsidRPr="00F24848">
        <w:rPr>
          <w:rFonts w:ascii="Times" w:hAnsi="Times"/>
          <w:sz w:val="20"/>
          <w:lang w:val="en-GB"/>
        </w:rPr>
        <w:t xml:space="preserve">different </w:t>
      </w:r>
      <w:r w:rsidRPr="00F24848">
        <w:rPr>
          <w:rFonts w:ascii="Times" w:hAnsi="Times"/>
          <w:sz w:val="20"/>
          <w:lang w:val="en-GB"/>
        </w:rPr>
        <w:t>occupations</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"DOI" : "10.3233/WOR-2012-1464", "author" : [ { "dropping-particle" : "", "family" : "Albin", "given" : "Thomas J", "non-dropping-particle" : "", "parse-names" : false, "suffix" : "" } ], "id" : "ITEM-1", "issued" : { "date-parts" : [ [ "2012" ] ] }, "page" : "381-385", "title" : "Measuring the validity and reliability of ergonomic checklists", "type" : "article-journal", "volume" : "43" }, "uris" : [ "http://www.mendeley.com/documents/?uuid=8dbd7207-8707-4c13-8ea1-2feff5869401" ] } ], "mendeley" : { "formattedCitation" : "[9]", "plainTextFormattedCitation" : "[9]", "previouslyFormattedCitation" : "[9]"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[9]</w:t>
      </w:r>
      <w:r w:rsidR="00BF374D" w:rsidRPr="00F24848">
        <w:rPr>
          <w:rFonts w:ascii="Times" w:hAnsi="Times"/>
          <w:sz w:val="20"/>
          <w:lang w:val="en-GB"/>
        </w:rPr>
        <w:fldChar w:fldCharType="end"/>
      </w:r>
      <w:r w:rsidR="00E24AC0" w:rsidRPr="00F24848">
        <w:rPr>
          <w:rFonts w:ascii="Times" w:hAnsi="Times"/>
          <w:sz w:val="20"/>
          <w:lang w:val="en-GB"/>
        </w:rPr>
        <w:t xml:space="preserve">. </w:t>
      </w:r>
      <w:r w:rsidRPr="00F24848">
        <w:rPr>
          <w:rFonts w:ascii="Times" w:hAnsi="Times"/>
          <w:sz w:val="20"/>
          <w:lang w:val="en-GB"/>
        </w:rPr>
        <w:t xml:space="preserve">Several observational methods for evaluating the exposure of risk factors linked </w:t>
      </w:r>
      <w:r w:rsidR="00D31B33" w:rsidRPr="00F24848">
        <w:rPr>
          <w:rFonts w:ascii="Times" w:hAnsi="Times"/>
          <w:sz w:val="20"/>
          <w:lang w:val="en-GB"/>
        </w:rPr>
        <w:t>to</w:t>
      </w:r>
      <w:r w:rsidRPr="00F24848">
        <w:rPr>
          <w:rFonts w:ascii="Times" w:hAnsi="Times"/>
          <w:sz w:val="20"/>
          <w:lang w:val="en-GB"/>
        </w:rPr>
        <w:t xml:space="preserve"> WMSDs are; </w:t>
      </w:r>
      <w:r w:rsidR="00CE2F42" w:rsidRPr="00F24848">
        <w:rPr>
          <w:rFonts w:ascii="Times" w:hAnsi="Times"/>
          <w:sz w:val="20"/>
          <w:lang w:val="en-GB"/>
        </w:rPr>
        <w:t>Ovako Working Posture Assessment System (OWAS)</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"author" : [ { "dropping-particle" : "", "family" : "Karhu", "given" : "Osmo", "non-dropping-particle" : "", "parse-names" : false, "suffix" : "" }, { "dropping-particle" : "", "family" : "Kansi", "given" : "Pekka", "non-dropping-particle" : "", "parse-names" : false, "suffix" : "" }, { "dropping-particle" : "", "family" : "Kuorinka", "given" : "Ilkka", "non-dropping-particle" : "", "parse-names" : false, "suffix" : "" } ], "id" : "ITEM-1", "issue" : "December", "issued" : { "date-parts" : [ [ "1977" ] ] }, "page" : "199-201", "title" : "Correcting working postures in industry : A practical method for analysis", "type" : "article-journal" }, "uris" : [ "http://www.mendeley.com/documents/?uuid=78c969d6-8a47-4b77-8728-05737c0be784" ] } ], "mendeley" : { "formattedCitation" : "[10]", "plainTextFormattedCitation" : "[10]", "previouslyFormattedCitation" : "[10]"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[10]</w:t>
      </w:r>
      <w:r w:rsidR="00BF374D" w:rsidRPr="00F24848">
        <w:rPr>
          <w:rFonts w:ascii="Times" w:hAnsi="Times"/>
          <w:sz w:val="20"/>
          <w:lang w:val="en-GB"/>
        </w:rPr>
        <w:fldChar w:fldCharType="end"/>
      </w:r>
      <w:r w:rsidR="00680DD6" w:rsidRPr="00F24848">
        <w:rPr>
          <w:rFonts w:ascii="Times" w:hAnsi="Times"/>
          <w:sz w:val="20"/>
          <w:lang w:val="en-GB"/>
        </w:rPr>
        <w:t xml:space="preserve">, </w:t>
      </w:r>
      <w:r w:rsidR="00CE2F42" w:rsidRPr="00F24848">
        <w:rPr>
          <w:rFonts w:ascii="Times" w:hAnsi="Times"/>
          <w:sz w:val="20"/>
          <w:lang w:val="en-GB"/>
        </w:rPr>
        <w:t>Posture, Activity, Tools and Handling (PATH)</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"DOI" : "10.1016/0003-6870(95)00078-X", "ISBN" : "0003-6870 (Print)\\par", "ISSN" : "00036870", "PMID" : "15677058", "abstract" : "A high prevalence and incidence of work-related musculoskeletal disorders have been reported in construction work. Unlike industrial production-line activity, construction work, as well as work in many other occupations (e.g. agriculture, mining), is non-repetitive in nature; job tasks are non-cyclic, or consist of long or irregular cycles. PATH (Posture, Activity, Tools and Handling), a work sampling-based approach, was developed to characterize the ergonomic hazards of construction and other non-repetitive work. The posture codes in the PATH method are based on the Ovako Work Posture Analysing System (OWAS), with other codes included for describing worker activity, tool use, loads handled and grasp type. For heavy highway construction, observations are stratified by construction stage and operation, using a taxonomy developed specifically for this purpose. Observers can code the physical characteristics of the job reliably after about 30 h of training. A pilot study of six construction laborers during four road construction operations suggests that laborers spend large proportions of time in non-neutral trunk postures and spend approximately 20% of their time performing manual material handling tasks. These results demonstrate how the PATH method can be used to identify specific construction operations and tasks that are ergonomically hazardous.", "author" : [ { "dropping-particle" : "", "family" : "Buchholz", "given" : "Bryan", "non-dropping-particle" : "", "parse-names" : false, "suffix" : "" }, { "dropping-particle" : "", "family" : "Paquet", "given" : "Victor", "non-dropping-particle" : "", "parse-names" : false, "suffix" : "" }, { "dropping-particle" : "", "family" : "Punnett", "given" : "Laura", "non-dropping-particle" : "", "parse-names" : false, "suffix" : "" }, { "dropping-particle" : "", "family" : "Lee", "given" : "Diane", "non-dropping-particle" : "", "parse-names" : false, "suffix" : "" }, { "dropping-particle" : "", "family" : "Moir", "given" : "Susan", "non-dropping-particle" : "", "parse-names" : false, "suffix" : "" } ], "container-title" : "Applied Ergonomics", "id" : "ITEM-1", "issue" : "3", "issued" : { "date-parts" : [ [ "1996" ] ] }, "page" : "177-187", "title" : "PATH: A work sampling-based approach to ergonomic job analysis for construction and other non-repetitive work", "type" : "article-journal", "volume" : "27" }, "uris" : [ "http://www.mendeley.com/documents/?uuid=bcd821df-fe19-4d8d-8073-c8f774b4c9df" ] } ], "mendeley" : { "formattedCitation" : "[11]", "plainTextFormattedCitation" : "[11]", "previouslyFormattedCitation" : "[11]"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[11]</w:t>
      </w:r>
      <w:r w:rsidR="00BF374D" w:rsidRPr="00F24848">
        <w:rPr>
          <w:rFonts w:ascii="Times" w:hAnsi="Times"/>
          <w:sz w:val="20"/>
          <w:lang w:val="en-GB"/>
        </w:rPr>
        <w:fldChar w:fldCharType="end"/>
      </w:r>
      <w:r w:rsidR="00680DD6" w:rsidRPr="00F24848">
        <w:rPr>
          <w:rFonts w:ascii="Times" w:hAnsi="Times"/>
          <w:sz w:val="20"/>
          <w:lang w:val="en-GB"/>
        </w:rPr>
        <w:t xml:space="preserve">, </w:t>
      </w:r>
      <w:r w:rsidR="00CE2F42" w:rsidRPr="00F24848">
        <w:rPr>
          <w:rFonts w:ascii="Times" w:hAnsi="Times"/>
          <w:sz w:val="20"/>
          <w:lang w:val="en-GB"/>
        </w:rPr>
        <w:t>Quick Exposure Check (QEC)</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"DOI" : "10.1016/j.apergo.2007.03.002", "ISBN" : "0003-6870", "ISSN" : "00036870", "PMID" : "17512492", "abstract" : "This paper describes the development and evaluation of the Quick Exposure Check (QEC), which is an observational tool developed for Occupational Safety and Health (OSH) practitioners to assess exposure to risks for work-related musculoskeletal disorders and provide a basis for ergonomic interventions. The tool is based on epidemiological evidence and investigations of OSH practitioners' aptitudes for undertaking assessments. It has been tested, modified and validated using simulated and workplace tasks, in two phases of development, with participation of 206 practitioners. The QEC allows the four main body areas to be assessed and involves practitioners and workers in the assessment. Trials have determined its usability, intra- and inter-observer reliability, and validity which show it is applicable to a wide range of working activities. The tool focuses primarily on physical workplace factors, but also includes the evaluation of psychosocial factors. Tasks can normally be assessed within 10 min. It has a scoring system, and exposure levels have been proposed to guide priorities for intervention. Subsequently it should be used to evaluate the effectiveness of any interventions made. The QEC can contribute to a holistic assessment of all the elements of a work system. ?? 2007 Elsevier Ltd. All rights reserved.", "author" : [ { "dropping-particle" : "", "family" : "David", "given" : "Geoffrey", "non-dropping-particle" : "", "parse-names" : false, "suffix" : "" }, { "dropping-particle" : "", "family" : "Woods", "given" : "Valerie", "non-dropping-particle" : "", "parse-names" : false, "suffix" : "" }, { "dropping-particle" : "", "family" : "Li", "given" : "Guangyan", "non-dropping-particle" : "", "parse-names" : false, "suffix" : "" }, { "dropping-particle" : "", "family" : "Buckle", "given" : "Peter", "non-dropping-particle" : "", "parse-names" : false, "suffix" : "" } ], "container-title" : "Applied Ergonomics", "id" : "ITEM-1", "issue" : "1", "issued" : { "date-parts" : [ [ "2008" ] ] }, "page" : "57-69", "title" : "The development of the Quick Exposure Check (QEC) for assessing exposure to risk factors for work-related musculoskeletal disorders", "type" : "article-journal", "volume" : "39" }, "uris" : [ "http://www.mendeley.com/documents/?uuid=eafb31bf-060f-4bc8-ac54-34b772be5dce" ] } ], "mendeley" : { "formattedCitation" : "[12]", "plainTextFormattedCitation" : "[12]", "previouslyFormattedCitation" : "[12]"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[12]</w:t>
      </w:r>
      <w:r w:rsidR="00BF374D" w:rsidRPr="00F24848">
        <w:rPr>
          <w:rFonts w:ascii="Times" w:hAnsi="Times"/>
          <w:sz w:val="20"/>
          <w:lang w:val="en-GB"/>
        </w:rPr>
        <w:fldChar w:fldCharType="end"/>
      </w:r>
      <w:r w:rsidR="00680DD6" w:rsidRPr="00F24848">
        <w:rPr>
          <w:rFonts w:ascii="Times" w:hAnsi="Times"/>
          <w:sz w:val="20"/>
          <w:lang w:val="en-GB"/>
        </w:rPr>
        <w:t xml:space="preserve">, </w:t>
      </w:r>
      <w:r w:rsidR="00CE2F42" w:rsidRPr="00F24848">
        <w:rPr>
          <w:rFonts w:ascii="Times" w:hAnsi="Times"/>
          <w:sz w:val="20"/>
          <w:lang w:val="en-GB"/>
        </w:rPr>
        <w:t>Rapid Entire Body Assessment (REBA)</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"ISSN" : "0003-6870", "author" : [ { "dropping-particle" : "", "family" : "Hignett", "given" : "Sue", "non-dropping-particle" : "", "parse-names" : false, "suffix" : "" }, { "dropping-particle" : "", "family" : "McAtamney", "given" : "Lynn", "non-dropping-particle" : "", "parse-names" : false, "suffix" : "" } ], "container-title" : "Applied ergonomics", "id" : "ITEM-1", "issue" : "2", "issued" : { "date-parts" : [ [ "2000" ] ] }, "page" : "201-205", "publisher" : "Elsevier", "title" : "Rapid entire body assessment (REBA)", "type" : "article-journal", "volume" : "31" }, "uris" : [ "http://www.mendeley.com/documents/?uuid=0af19a81-4b54-40db-a46c-ef806b0ebae5" ] } ], "mendeley" : { "formattedCitation" : "[13]", "plainTextFormattedCitation" : "[13]", "previouslyFormattedCitation" : "[13]"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[13]</w:t>
      </w:r>
      <w:r w:rsidR="00BF374D" w:rsidRPr="00F24848">
        <w:rPr>
          <w:rFonts w:ascii="Times" w:hAnsi="Times"/>
          <w:sz w:val="20"/>
          <w:lang w:val="en-GB"/>
        </w:rPr>
        <w:fldChar w:fldCharType="end"/>
      </w:r>
      <w:r w:rsidR="00680DD6" w:rsidRPr="00F24848">
        <w:rPr>
          <w:rFonts w:ascii="Times" w:hAnsi="Times"/>
          <w:sz w:val="20"/>
          <w:lang w:val="en-GB"/>
        </w:rPr>
        <w:t xml:space="preserve">, </w:t>
      </w:r>
      <w:r w:rsidR="00CE2F42" w:rsidRPr="00F24848">
        <w:rPr>
          <w:rFonts w:ascii="Times" w:hAnsi="Times"/>
          <w:sz w:val="20"/>
          <w:lang w:val="en-GB"/>
        </w:rPr>
        <w:t>Workplace Ergonomic Risk Assessment (WERA)</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"ISSN" : "03008134", "abstract" : "This paper describes the development of the Workplace Ergonomic Risk Assessment (WERA) for investigating the physical risk factor associated with work-related musculoskeletal disorders (WMSDs). The initial development of WERA tool involved the following procedures: (1) first stage, development of WERA prototype from literature review, (2) second stage, evaluation of the psychometric properties including (a) validity trials and (b) reliability and usability trials. In the validity trials, the relationship of the individual WERA body part scores to the development of pain or discomfort is statistically significant for the wrist, shoulder and back regions. It shows that the WERA assessment provided a good indication of work-related musculoskeletal disorders which might be reported as pain, ache or discomfort in the relevant body regions. In the reliability trials, the results of inter-observer reliability shows that moderate agreement among the observers while from the feedback questionnaire survey about the usability of WERA tool, all participants including expert and management teams agreed that the prototype of WERA tool was easy and quick to use, applicable to workplace assessment for the wide range of job/task and valuable at work. It was confirmed that there was no need of training required to do WERA assessment. Therefore, the WERA assessment has been designed for easy and quick use, and for those who are trained to use it do not need previous skills in observation techniques although this would be an advantage. As WERA is a pen and paper technique that can be used without any special equipment, WERA assessment can be done in any space of workplaces without disruption to the task that have been observed.", "author" : [ { "dropping-particle" : "", "family" : "Abd Rahman", "given" : "Mohd N asrull", "non-dropping-particle" : "", "parse-names" : false, "suffix" : "" }, { "dropping-particle" : "", "family" : "Abdul Rani", "given" : "Mat R ebi", "non-dropping-particle" : "", "parse-names" : false, "suffix" : "" }, { "dropping-particle" : "", "family" : "Rohani", "given" : "Jafri M ohd", "non-dropping-particle" : "", "parse-names" : false, "suffix" : "" } ], "container-title" : "Journal of human ergology", "id" : "ITEM-1", "issue" : "1-2", "issued" : { "date-parts" : [ [ "2011" ] ] }, "page" : "19-36", "title" : "WERA: an observational tool develop to investigate the physical risk factor associated with WMSDs", "type" : "article-journal", "volume" : "40" }, "uris" : [ "http://www.mendeley.com/documents/?uuid=95871dcc-eec0-480e-b71a-c43bd71452c2" ] } ], "mendeley" : { "formattedCitation" : "[14]", "plainTextFormattedCitation" : "[14]", "previouslyFormattedCitation" : "[14]"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[14]</w:t>
      </w:r>
      <w:r w:rsidR="00BF374D" w:rsidRPr="00F24848">
        <w:rPr>
          <w:rFonts w:ascii="Times" w:hAnsi="Times"/>
          <w:sz w:val="20"/>
          <w:lang w:val="en-GB"/>
        </w:rPr>
        <w:fldChar w:fldCharType="end"/>
      </w:r>
      <w:r w:rsidR="00680DD6" w:rsidRPr="00F24848">
        <w:rPr>
          <w:rFonts w:ascii="Times" w:hAnsi="Times"/>
          <w:sz w:val="20"/>
          <w:lang w:val="en-GB"/>
        </w:rPr>
        <w:t xml:space="preserve">, </w:t>
      </w:r>
      <w:r w:rsidR="00CE2F42" w:rsidRPr="00F24848">
        <w:rPr>
          <w:rFonts w:ascii="Times" w:hAnsi="Times"/>
          <w:sz w:val="20"/>
          <w:lang w:val="en-GB"/>
        </w:rPr>
        <w:t>and Individual Risk Assessment (ERIN)</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"author" : [ { "dropping-particle" : "", "family" : "Rodr\u00edguez", "given" : "Yord\u00e1n", "non-dropping-particle" : "", "parse-names" : false, "suffix" : "" }, { "dropping-particle" : "", "family" : "Vi\u00f1a", "given" : "Silvio", "non-dropping-particle" : "", "parse-names" : false, "suffix" : "" }, { "dropping-particle" : "", "family" : "Montero", "given" : "Ricardo", "non-dropping-particle" : "", "parse-names" : false, "suffix" : "" } ], "id" : "ITEM-1", "issued" : { "date-parts" : [ [ "2013" ] ] }, "page" : "622-626", "title" : "A Method for Non-experts in Assessing Exposure to Risk Factors for Work-related Musculoskeletal Disorders \u2014 ERIN", "type" : "article-journal" }, "uris" : [ "http://www.mendeley.com/documents/?uuid=c6c2b385-6350-4ac2-98ac-846dcf2b98ae" ] } ], "mendeley" : { "formattedCitation" : "[15]", "plainTextFormattedCitation" : "[15]", "previouslyFormattedCitation" : "[15]"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[15]</w:t>
      </w:r>
      <w:r w:rsidR="00BF374D" w:rsidRPr="00F24848">
        <w:rPr>
          <w:rFonts w:ascii="Times" w:hAnsi="Times"/>
          <w:sz w:val="20"/>
          <w:lang w:val="en-GB"/>
        </w:rPr>
        <w:fldChar w:fldCharType="end"/>
      </w:r>
      <w:r w:rsidRPr="00F24848">
        <w:rPr>
          <w:rFonts w:ascii="Times" w:hAnsi="Times"/>
          <w:sz w:val="20"/>
          <w:lang w:val="en-GB"/>
        </w:rPr>
        <w:t xml:space="preserve">. However, </w:t>
      </w:r>
      <w:r w:rsidR="00D31B33" w:rsidRPr="00F24848">
        <w:rPr>
          <w:rFonts w:ascii="Times" w:hAnsi="Times"/>
          <w:sz w:val="20"/>
          <w:lang w:val="en-GB"/>
        </w:rPr>
        <w:t xml:space="preserve">the </w:t>
      </w:r>
      <w:r w:rsidRPr="00F24848">
        <w:rPr>
          <w:rFonts w:ascii="Times" w:hAnsi="Times"/>
          <w:sz w:val="20"/>
          <w:lang w:val="en-GB"/>
        </w:rPr>
        <w:t xml:space="preserve">majority of the tools only emphasise on evaluating the physical risk factors of WMSDs specifically in </w:t>
      </w:r>
      <w:r w:rsidR="00D31B33" w:rsidRPr="00F24848">
        <w:rPr>
          <w:rFonts w:ascii="Times" w:hAnsi="Times"/>
          <w:sz w:val="20"/>
          <w:lang w:val="en-GB"/>
        </w:rPr>
        <w:t xml:space="preserve">terms of </w:t>
      </w:r>
      <w:r w:rsidRPr="00F24848">
        <w:rPr>
          <w:rFonts w:ascii="Times" w:hAnsi="Times"/>
          <w:sz w:val="20"/>
          <w:lang w:val="en-GB"/>
        </w:rPr>
        <w:t xml:space="preserve">different body postures which do not involve other factors of WMSDs. Other risk factors of WMSDs </w:t>
      </w:r>
      <w:r w:rsidR="00D31B33" w:rsidRPr="00F24848">
        <w:rPr>
          <w:rFonts w:ascii="Times" w:hAnsi="Times"/>
          <w:sz w:val="20"/>
          <w:lang w:val="en-GB"/>
        </w:rPr>
        <w:t>include</w:t>
      </w:r>
      <w:r w:rsidRPr="00F24848">
        <w:rPr>
          <w:rFonts w:ascii="Times" w:hAnsi="Times"/>
          <w:sz w:val="20"/>
          <w:lang w:val="en-GB"/>
        </w:rPr>
        <w:t xml:space="preserve"> psycho</w:t>
      </w:r>
      <w:r w:rsidR="00D31B33" w:rsidRPr="00F24848">
        <w:rPr>
          <w:rFonts w:ascii="Times" w:hAnsi="Times"/>
          <w:sz w:val="20"/>
          <w:lang w:val="en-GB"/>
        </w:rPr>
        <w:t>social risk factor, work organis</w:t>
      </w:r>
      <w:r w:rsidRPr="00F24848">
        <w:rPr>
          <w:rFonts w:ascii="Times" w:hAnsi="Times"/>
          <w:sz w:val="20"/>
          <w:lang w:val="en-GB"/>
        </w:rPr>
        <w:t xml:space="preserve">ation risk factor, and individual risk factors. </w:t>
      </w:r>
      <w:r w:rsidR="009A4500" w:rsidRPr="00F24848">
        <w:rPr>
          <w:rFonts w:ascii="Times" w:hAnsi="Times"/>
          <w:sz w:val="20"/>
          <w:lang w:val="en-GB"/>
        </w:rPr>
        <w:t xml:space="preserve">The </w:t>
      </w:r>
      <w:r w:rsidRPr="00F24848">
        <w:rPr>
          <w:rFonts w:ascii="Times" w:hAnsi="Times"/>
          <w:sz w:val="20"/>
          <w:lang w:val="en-GB"/>
        </w:rPr>
        <w:t>Entire Body Risk Assessment (ENBORA) method is a new obser</w:t>
      </w:r>
      <w:r w:rsidR="009A4500" w:rsidRPr="00F24848">
        <w:rPr>
          <w:rFonts w:ascii="Times" w:hAnsi="Times"/>
          <w:sz w:val="20"/>
          <w:lang w:val="en-GB"/>
        </w:rPr>
        <w:t>vational method for assessing</w:t>
      </w:r>
      <w:r w:rsidRPr="00F24848">
        <w:rPr>
          <w:rFonts w:ascii="Times" w:hAnsi="Times"/>
          <w:sz w:val="20"/>
          <w:lang w:val="en-GB"/>
        </w:rPr>
        <w:t xml:space="preserve"> exposure to ris</w:t>
      </w:r>
      <w:r w:rsidR="009A4500" w:rsidRPr="00F24848">
        <w:rPr>
          <w:rFonts w:ascii="Times" w:hAnsi="Times"/>
          <w:sz w:val="20"/>
          <w:lang w:val="en-GB"/>
        </w:rPr>
        <w:t>k factors related to WMSDs that</w:t>
      </w:r>
      <w:r w:rsidRPr="00F24848">
        <w:rPr>
          <w:rFonts w:ascii="Times" w:hAnsi="Times"/>
          <w:sz w:val="20"/>
          <w:lang w:val="en-GB"/>
        </w:rPr>
        <w:t xml:space="preserve"> assess</w:t>
      </w:r>
      <w:r w:rsidR="009A4500" w:rsidRPr="00F24848">
        <w:rPr>
          <w:rFonts w:ascii="Times" w:hAnsi="Times"/>
          <w:sz w:val="20"/>
          <w:lang w:val="en-GB"/>
        </w:rPr>
        <w:t xml:space="preserve">es </w:t>
      </w:r>
      <w:r w:rsidRPr="00F24848">
        <w:rPr>
          <w:rFonts w:ascii="Times" w:hAnsi="Times"/>
          <w:sz w:val="20"/>
          <w:lang w:val="en-GB"/>
        </w:rPr>
        <w:t>physical risk factors, psychos</w:t>
      </w:r>
      <w:r w:rsidR="009A4500" w:rsidRPr="00F24848">
        <w:rPr>
          <w:rFonts w:ascii="Times" w:hAnsi="Times"/>
          <w:sz w:val="20"/>
          <w:lang w:val="en-GB"/>
        </w:rPr>
        <w:t>ocial risk factors, work organis</w:t>
      </w:r>
      <w:r w:rsidRPr="00F24848">
        <w:rPr>
          <w:rFonts w:ascii="Times" w:hAnsi="Times"/>
          <w:sz w:val="20"/>
          <w:lang w:val="en-GB"/>
        </w:rPr>
        <w:t>ational risk factors and individual risk factors. Re</w:t>
      </w:r>
      <w:r w:rsidR="009A4500" w:rsidRPr="00F24848">
        <w:rPr>
          <w:rFonts w:ascii="Times" w:hAnsi="Times"/>
          <w:sz w:val="20"/>
          <w:lang w:val="en-GB"/>
        </w:rPr>
        <w:t>liability is required to prove</w:t>
      </w:r>
      <w:r w:rsidRPr="00F24848">
        <w:rPr>
          <w:rFonts w:ascii="Times" w:hAnsi="Times"/>
          <w:sz w:val="20"/>
          <w:lang w:val="en-GB"/>
        </w:rPr>
        <w:t xml:space="preserve"> validity as it o</w:t>
      </w:r>
      <w:r w:rsidR="009A4500" w:rsidRPr="00F24848">
        <w:rPr>
          <w:rFonts w:ascii="Times" w:hAnsi="Times"/>
          <w:sz w:val="20"/>
          <w:lang w:val="en-GB"/>
        </w:rPr>
        <w:t>ught to be operated on any kind of new measurement method</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"author" : [ { "dropping-particle" : "", "family" : "Nunnally", "given" : "Jum C", "non-dropping-particle" : "", "parse-names" : false, "suffix" : "" } ], "id" : "ITEM-1", "issued" : { "date-parts" : [ [ "1994" ] ] }, "publisher" : "McGraw-Hill, New York", "title" : "IH Bernstein Psychometric Theory", "type" : "article" }, "uris" : [ "http://www.mendeley.com/documents/?uuid=394802c0-79a9-478f-b2b1-f0412bca74e6" ] } ], "mendeley" : { "formattedCitation" : "[16]", "plainTextFormattedCitation" : "[16]", "previouslyFormattedCitation" : "[16]"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[16]</w:t>
      </w:r>
      <w:r w:rsidR="00BF374D" w:rsidRPr="00F24848">
        <w:rPr>
          <w:rFonts w:ascii="Times" w:hAnsi="Times"/>
          <w:sz w:val="20"/>
          <w:lang w:val="en-GB"/>
        </w:rPr>
        <w:fldChar w:fldCharType="end"/>
      </w:r>
      <w:r w:rsidR="000D1007" w:rsidRPr="00F24848">
        <w:rPr>
          <w:rFonts w:ascii="Times" w:hAnsi="Times"/>
          <w:sz w:val="20"/>
          <w:lang w:val="en-GB"/>
        </w:rPr>
        <w:t xml:space="preserve">. </w:t>
      </w:r>
      <w:r w:rsidRPr="00F24848">
        <w:rPr>
          <w:rFonts w:ascii="Times" w:hAnsi="Times"/>
          <w:sz w:val="20"/>
          <w:lang w:val="en-GB"/>
        </w:rPr>
        <w:t>Reliability is also known as the concord between the object’s recurring measurements and the one that has been tested to support the propositioned method</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"author" : [ { "dropping-particle" : "De", "family" : "Bruijn", "given" : "I", "non-dropping-particle" : "", "parse-names" : false, "suffix" : "" }, { "dropping-particle" : "", "family" : "Engels", "given" : "J A", "non-dropping-particle" : "", "parse-names" : false, "suffix" : "" }, { "dropping-particle" : "Van Der", "family" : "Gulden", "given" : "J W J", "non-dropping-particle" : "", "parse-names" : false, "suffix" : "" } ], "id" : "ITEM-1", "issue" : "4", "issued" : { "date-parts" : [ [ "1998" ] ] }, "page" : "281-283", "title" : "A simple method to evaluate the reliability of OWAS observations", "type" : "article-journal", "volume" : "29" }, "uris" : [ "http://www.mendeley.com/documents/?uuid=f3cc42b5-298c-40c7-9412-972ede8ca64e" ] } ], "mendeley" : { "formattedCitation" : "[17]", "plainTextFormattedCitation" : "[17]", "previouslyFormattedCitation" : "[17]"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[17]</w:t>
      </w:r>
      <w:r w:rsidR="00BF374D" w:rsidRPr="00F24848">
        <w:rPr>
          <w:rFonts w:ascii="Times" w:hAnsi="Times"/>
          <w:sz w:val="20"/>
          <w:lang w:val="en-GB"/>
        </w:rPr>
        <w:fldChar w:fldCharType="end"/>
      </w:r>
      <w:r w:rsidR="000D1007" w:rsidRPr="00F24848">
        <w:rPr>
          <w:rFonts w:ascii="Times" w:hAnsi="Times"/>
          <w:sz w:val="20"/>
          <w:lang w:val="en-GB"/>
        </w:rPr>
        <w:t xml:space="preserve">. </w:t>
      </w:r>
      <w:r w:rsidRPr="00F24848">
        <w:rPr>
          <w:rFonts w:ascii="Times" w:hAnsi="Times"/>
          <w:sz w:val="20"/>
          <w:lang w:val="en-GB"/>
        </w:rPr>
        <w:t>A measurement’s reliability implies a thorough and scrupulous measurement that</w:t>
      </w:r>
      <w:r w:rsidR="009A4500" w:rsidRPr="00F24848">
        <w:rPr>
          <w:rFonts w:ascii="Times" w:hAnsi="Times"/>
          <w:sz w:val="20"/>
          <w:lang w:val="en-GB"/>
        </w:rPr>
        <w:t xml:space="preserve"> will guarantee consistency through</w:t>
      </w:r>
      <w:r w:rsidRPr="00F24848">
        <w:rPr>
          <w:rFonts w:ascii="Times" w:hAnsi="Times"/>
          <w:sz w:val="20"/>
          <w:lang w:val="en-GB"/>
        </w:rPr>
        <w:t xml:space="preserve"> numerous items in the instrument</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"ISBN" : "9788126509287", "author" : [ { "dropping-particle" : "", "family" : "Sekaran", "given" : "U", "non-dropping-particle" : "", "parse-names" : false, "suffix" : "" } ], "id" : "ITEM-1", "issued" : { "date-parts" : [ [ "2006" ] ] }, "publisher" : "Wiley India Pvt. Limited", "title" : "Research Methods For Business: A Skill Building Approach, 4Th Ed", "type" : "book" }, "uris" : [ "http://www.mendeley.com/documents/?uuid=65dbb31c-c6ed-4c3b-bb03-8983d9d6994b" ] } ], "mendeley" : { "formattedCitation" : "[18]", "plainTextFormattedCitation" : "[18]", "previouslyFormattedCitation" : "[18]"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[18]</w:t>
      </w:r>
      <w:r w:rsidR="00BF374D" w:rsidRPr="00F24848">
        <w:rPr>
          <w:rFonts w:ascii="Times" w:hAnsi="Times"/>
          <w:sz w:val="20"/>
          <w:lang w:val="en-GB"/>
        </w:rPr>
        <w:fldChar w:fldCharType="end"/>
      </w:r>
      <w:r w:rsidR="000D1007" w:rsidRPr="00F24848">
        <w:rPr>
          <w:rFonts w:ascii="Times" w:hAnsi="Times"/>
          <w:sz w:val="20"/>
          <w:lang w:val="en-GB"/>
        </w:rPr>
        <w:t xml:space="preserve">. </w:t>
      </w:r>
      <w:r w:rsidRPr="00F24848">
        <w:rPr>
          <w:rFonts w:ascii="Times" w:hAnsi="Times"/>
          <w:sz w:val="20"/>
          <w:lang w:val="en-GB"/>
        </w:rPr>
        <w:t>Reliability of a measure also depicts the stability and regularity of the instrument that determines the concept while assist</w:t>
      </w:r>
      <w:r w:rsidR="009A4500" w:rsidRPr="00F24848">
        <w:rPr>
          <w:rFonts w:ascii="Times" w:hAnsi="Times"/>
          <w:sz w:val="20"/>
          <w:lang w:val="en-GB"/>
        </w:rPr>
        <w:t>ing in determination of</w:t>
      </w:r>
      <w:r w:rsidRPr="00F24848">
        <w:rPr>
          <w:rFonts w:ascii="Times" w:hAnsi="Times"/>
          <w:sz w:val="20"/>
          <w:lang w:val="en-GB"/>
        </w:rPr>
        <w:t xml:space="preserve"> its quality at the same time</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"ISBN" : "9788126509287", "author" : [ { "dropping-particle" : "", "family" : "Sekaran", "given" : "U", "non-dropping-particle" : "", "parse-names" : false, "suffix" : "" } ], "id" : "ITEM-1", "issued" : { "date-parts" : [ [ "2006" ] ] }, "publisher" : "Wiley India Pvt. Limited", "title" : "Research Methods For Business: A Skill Building Approach, 4Th Ed", "type" : "book" }, "uris" : [ "http://www.mendeley.com/documents/?uuid=65dbb31c-c6ed-4c3b-bb03-8983d9d6994b" ] } ], "mendeley" : { "formattedCitation" : "[18]", "plainTextFormattedCitation" : "[18]", "previouslyFormattedCitation" : "[18]"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[18]</w:t>
      </w:r>
      <w:r w:rsidR="00BF374D" w:rsidRPr="00F24848">
        <w:rPr>
          <w:rFonts w:ascii="Times" w:hAnsi="Times"/>
          <w:sz w:val="20"/>
          <w:lang w:val="en-GB"/>
        </w:rPr>
        <w:fldChar w:fldCharType="end"/>
      </w:r>
      <w:r w:rsidR="000D1007" w:rsidRPr="00F24848">
        <w:rPr>
          <w:rFonts w:ascii="Times" w:hAnsi="Times"/>
          <w:sz w:val="20"/>
          <w:lang w:val="en-GB"/>
        </w:rPr>
        <w:t xml:space="preserve">. </w:t>
      </w:r>
      <w:r w:rsidRPr="00F24848">
        <w:rPr>
          <w:rFonts w:ascii="Times" w:hAnsi="Times"/>
          <w:sz w:val="20"/>
          <w:lang w:val="en-GB"/>
        </w:rPr>
        <w:t>The inter-rater reliab</w:t>
      </w:r>
      <w:r w:rsidR="009A4500" w:rsidRPr="00F24848">
        <w:rPr>
          <w:rFonts w:ascii="Times" w:hAnsi="Times"/>
          <w:sz w:val="20"/>
          <w:lang w:val="en-GB"/>
        </w:rPr>
        <w:t>ility has been analysed for the</w:t>
      </w:r>
      <w:r w:rsidRPr="00F24848">
        <w:rPr>
          <w:rFonts w:ascii="Times" w:hAnsi="Times"/>
          <w:sz w:val="20"/>
          <w:lang w:val="en-GB"/>
        </w:rPr>
        <w:t xml:space="preserve"> ENBORA </w:t>
      </w:r>
      <w:r w:rsidR="009A4500" w:rsidRPr="00F24848">
        <w:rPr>
          <w:rFonts w:ascii="Times" w:hAnsi="Times"/>
          <w:sz w:val="20"/>
          <w:lang w:val="en-GB"/>
        </w:rPr>
        <w:t xml:space="preserve">method. Inter-rater reliability </w:t>
      </w:r>
      <w:r w:rsidRPr="00F24848">
        <w:rPr>
          <w:rFonts w:ascii="Times" w:hAnsi="Times"/>
          <w:sz w:val="20"/>
          <w:lang w:val="en-GB"/>
        </w:rPr>
        <w:t>is defined as the results’ level of agreement derived by numbers in monitoring similar work condition</w:t>
      </w:r>
      <w:r w:rsidR="009A4500" w:rsidRPr="00F24848">
        <w:rPr>
          <w:rFonts w:ascii="Times" w:hAnsi="Times"/>
          <w:sz w:val="20"/>
          <w:lang w:val="en-GB"/>
        </w:rPr>
        <w:t>s</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"author" : [ { "dropping-particle" : "", "family" : "Park", "given" : "Jungkeun", "non-dropping-particle" : "", "parse-names" : false, "suffix" : "" }, { "dropping-particle" : "", "family" : "Boyer", "given" : "Jon", "non-dropping-particle" : "", "parse-names" : false, "suffix" : "" }, { "dropping-particle" : "", "family" : "Tessler", "given" : "Jamie", "non-dropping-particle" : "", "parse-names" : false, "suffix" : "" }, { "dropping-particle" : "", "family" : "Perez", "given" : "Gustavo", "non-dropping-particle" : "", "parse-names" : false, "suffix" : "" }, { "dropping-particle" : "", "family" : "Punnett", "given" : "Laura", "non-dropping-particle" : "", "parse-names" : false, "suffix" : "" } ], "id" : "ITEM-1", "issued" : { "date-parts" : [ [ "2005" ] ] }, "page" : "1385-1389", "title" : "EXPOSURE ASSESSMENT OF MUSCULOSKELETAL DISORDER RISK FACTORS IN HOSPITAL WORK : INTER-RATER RELIABILITY OF PATH OBSERVATIONS", "type" : "article-journal" }, "uris" : [ "http://www.mendeley.com/documents/?uuid=40f3cf05-f0d7-4937-9899-03ecea00625b" ] } ], "mendeley" : { "formattedCitation" : "[19]", "plainTextFormattedCitation" : "[19]", "previouslyFormattedCitation" : "[19]"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[19]</w:t>
      </w:r>
      <w:r w:rsidR="00BF374D" w:rsidRPr="00F24848">
        <w:rPr>
          <w:rFonts w:ascii="Times" w:hAnsi="Times"/>
          <w:sz w:val="20"/>
          <w:lang w:val="en-GB"/>
        </w:rPr>
        <w:fldChar w:fldCharType="end"/>
      </w:r>
      <w:r w:rsidR="005A4935" w:rsidRPr="00F24848">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"ISBN" : "0199685215", "author" : [ { "dropping-particle" : "", "family" : "Streiner", "given" : "David L", "non-dropping-particle" : "", "parse-names" : false, "suffix" : "" }, { "dropping-particle" : "", "family" : "Norman", "given" : "Geoffrey R", "non-dropping-particle" : "", "parse-names" : false, "suffix" : "" }, { "dropping-particle" : "", "family" : "Cairney", "given" : "John", "non-dropping-particle" : "", "parse-names" : false, "suffix" : "" } ], "id" : "ITEM-1", "issued" : { "date-parts" : [ [ "2014" ] ] }, "publisher" : "Oxford University Press, USA", "title" : "Health measurement scales: a practical guide to their development and use", "type" : "book" }, "uris" : [ "http://www.mendeley.com/documents/?uuid=c08495d0-da47-4872-ba54-8cd2824a82d9" ] } ], "mendeley" : { "formattedCitation" : "[20]", "manualFormatting" : "Streiner et al, ", "plainTextFormattedCitation" : "[20]", "previouslyFormattedCitation" : "[20]" }, "properties" : { "noteIndex" : 0 }, "schema" : "https://github.com/citation-style-language/schema/raw/master/csl-citation.json" }</w:instrText>
      </w:r>
      <w:r w:rsidR="00BF374D" w:rsidRPr="00F24848">
        <w:rPr>
          <w:rFonts w:ascii="Times" w:hAnsi="Times"/>
          <w:sz w:val="20"/>
          <w:lang w:val="en-GB"/>
        </w:rPr>
        <w:fldChar w:fldCharType="separate"/>
      </w:r>
      <w:r w:rsidR="003A449D" w:rsidRPr="00F24848">
        <w:rPr>
          <w:rFonts w:ascii="Times" w:hAnsi="Times"/>
          <w:noProof/>
          <w:sz w:val="20"/>
          <w:lang w:val="en-GB"/>
        </w:rPr>
        <w:t>Streiner et al</w:t>
      </w:r>
      <w:r w:rsidR="00E5477F" w:rsidRPr="00F24848">
        <w:rPr>
          <w:rFonts w:ascii="Times" w:hAnsi="Times"/>
          <w:noProof/>
          <w:sz w:val="20"/>
          <w:lang w:val="en-GB"/>
        </w:rPr>
        <w:t xml:space="preserve">, </w:t>
      </w:r>
      <w:r w:rsidR="00BF374D" w:rsidRPr="00F24848">
        <w:rPr>
          <w:rFonts w:ascii="Times" w:hAnsi="Times"/>
          <w:sz w:val="20"/>
          <w:lang w:val="en-GB"/>
        </w:rPr>
        <w:fldChar w:fldCharType="end"/>
      </w:r>
      <w:r w:rsidRPr="00F24848">
        <w:rPr>
          <w:rFonts w:ascii="Times" w:hAnsi="Times"/>
          <w:sz w:val="20"/>
          <w:lang w:val="en-GB"/>
        </w:rPr>
        <w:t>acknowledged that inter-rater reliability resembles a tool’s capability to come out with consistent outcomes</w:t>
      </w:r>
      <w:r w:rsidR="009A4500" w:rsidRPr="00F24848">
        <w:rPr>
          <w:rFonts w:ascii="Times" w:hAnsi="Times"/>
          <w:sz w:val="20"/>
          <w:lang w:val="en-GB"/>
        </w:rPr>
        <w:t>. However, it also</w:t>
      </w:r>
      <w:r w:rsidRPr="00F24848">
        <w:rPr>
          <w:rFonts w:ascii="Times" w:hAnsi="Times"/>
          <w:sz w:val="20"/>
          <w:lang w:val="en-GB"/>
        </w:rPr>
        <w:t xml:space="preserve"> depend</w:t>
      </w:r>
      <w:r w:rsidR="009A4500" w:rsidRPr="00F24848">
        <w:rPr>
          <w:rFonts w:ascii="Times" w:hAnsi="Times"/>
          <w:sz w:val="20"/>
          <w:lang w:val="en-GB"/>
        </w:rPr>
        <w:t>s</w:t>
      </w:r>
      <w:r w:rsidRPr="00F24848">
        <w:rPr>
          <w:rFonts w:ascii="Times" w:hAnsi="Times"/>
          <w:sz w:val="20"/>
          <w:lang w:val="en-GB"/>
        </w:rPr>
        <w:t xml:space="preserve"> on </w:t>
      </w:r>
      <w:r w:rsidR="009A4500" w:rsidRPr="00F24848">
        <w:rPr>
          <w:rFonts w:ascii="Times" w:hAnsi="Times"/>
          <w:sz w:val="20"/>
          <w:lang w:val="en-GB"/>
        </w:rPr>
        <w:t xml:space="preserve">the </w:t>
      </w:r>
      <w:r w:rsidRPr="00F24848">
        <w:rPr>
          <w:rFonts w:ascii="Times" w:hAnsi="Times"/>
          <w:sz w:val="20"/>
          <w:lang w:val="en-GB"/>
        </w:rPr>
        <w:t>person in charge of the measurement</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"ISBN" : "0199685215", "author" : [ { "dropping-particle" : "", "family" : "Streiner", "given" : "David L", "non-dropping-particle" : "", "parse-names" : false, "suffix" : "" }, { "dropping-particle" : "", "family" : "Norman", "given" : "Geoffrey R", "non-dropping-particle" : "", "parse-names" : false, "suffix" : "" }, { "dropping-particle" : "", "family" : "Cairney", "given" : "John", "non-dropping-particle" : "", "parse-names" : false, "suffix" : "" } ], "id" : "ITEM-1", "issued" : { "date-parts" : [ [ "2014" ] ] }, "publisher" : "Oxford University Press, USA", "title" : "Health measurement scales: a practical guide to their development and use", "type" : "book" }, "uris" : [ "http://www.mendeley.com/documents/?uuid=c08495d0-da47-4872-ba54-8cd2824a82d9" ] } ], "mendeley" : { "formattedCitation" : "[20]", "plainTextFormattedCitation" : "[20]", "previouslyFormattedCitation" : "[20]"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[20]</w:t>
      </w:r>
      <w:r w:rsidR="00BF374D" w:rsidRPr="00F24848">
        <w:rPr>
          <w:rFonts w:ascii="Times" w:hAnsi="Times"/>
          <w:sz w:val="20"/>
          <w:lang w:val="en-GB"/>
        </w:rPr>
        <w:fldChar w:fldCharType="end"/>
      </w:r>
      <w:r w:rsidR="003A449D" w:rsidRPr="00F24848">
        <w:rPr>
          <w:rFonts w:ascii="Times" w:hAnsi="Times"/>
          <w:sz w:val="20"/>
          <w:lang w:val="en-GB"/>
        </w:rPr>
        <w:t xml:space="preserve">. </w:t>
      </w:r>
      <w:r w:rsidRPr="00F24848">
        <w:rPr>
          <w:rFonts w:ascii="Times" w:hAnsi="Times"/>
          <w:sz w:val="20"/>
          <w:lang w:val="en-GB"/>
        </w:rPr>
        <w:t xml:space="preserve">Hence, this research aims to analyse </w:t>
      </w:r>
      <w:r w:rsidR="001B5C21" w:rsidRPr="00F24848">
        <w:rPr>
          <w:rFonts w:ascii="Times" w:hAnsi="Times"/>
          <w:sz w:val="20"/>
          <w:lang w:val="en-GB"/>
        </w:rPr>
        <w:t xml:space="preserve">the inter-rater reliability of the </w:t>
      </w:r>
      <w:r w:rsidRPr="00F24848">
        <w:rPr>
          <w:rFonts w:ascii="Times" w:hAnsi="Times"/>
          <w:sz w:val="20"/>
          <w:lang w:val="en-GB"/>
        </w:rPr>
        <w:t>ENBORA m</w:t>
      </w:r>
      <w:r w:rsidR="001B5C21" w:rsidRPr="00F24848">
        <w:rPr>
          <w:rFonts w:ascii="Times" w:hAnsi="Times"/>
          <w:sz w:val="20"/>
          <w:lang w:val="en-GB"/>
        </w:rPr>
        <w:t>ethod.</w:t>
      </w:r>
    </w:p>
    <w:p w:rsidR="00107CF2" w:rsidRPr="003A221C" w:rsidRDefault="000E4989" w:rsidP="00107CF2">
      <w:pPr>
        <w:spacing w:before="340" w:after="170"/>
        <w:jc w:val="both"/>
        <w:rPr>
          <w:rFonts w:ascii="Arial" w:hAnsi="Arial" w:cs="Arial"/>
          <w:b/>
          <w:caps/>
          <w:sz w:val="20"/>
          <w:lang w:val="en-GB"/>
        </w:rPr>
      </w:pPr>
      <w:r w:rsidRPr="003A221C">
        <w:rPr>
          <w:rFonts w:ascii="Arial" w:hAnsi="Arial" w:cs="Arial"/>
          <w:b/>
          <w:caps/>
          <w:szCs w:val="24"/>
          <w:lang w:val="en-GB"/>
        </w:rPr>
        <w:t>2</w:t>
      </w:r>
      <w:r w:rsidR="003A221C" w:rsidRPr="003A221C">
        <w:rPr>
          <w:rFonts w:ascii="Arial" w:hAnsi="Arial" w:cs="Arial"/>
          <w:b/>
          <w:caps/>
          <w:szCs w:val="24"/>
          <w:lang w:val="en-GB"/>
        </w:rPr>
        <w:t xml:space="preserve"> </w:t>
      </w:r>
      <w:r w:rsidR="00CE2F42" w:rsidRPr="003A221C">
        <w:rPr>
          <w:rFonts w:ascii="Arial" w:hAnsi="Arial" w:cs="Arial"/>
          <w:b/>
          <w:szCs w:val="24"/>
          <w:lang w:val="en-GB"/>
        </w:rPr>
        <w:t>Methods</w:t>
      </w:r>
    </w:p>
    <w:p w:rsidR="00107CF2" w:rsidRPr="00F24848" w:rsidRDefault="000E4989" w:rsidP="00107CF2">
      <w:pPr>
        <w:tabs>
          <w:tab w:val="left" w:pos="340"/>
        </w:tabs>
        <w:spacing w:before="340" w:after="170"/>
        <w:jc w:val="both"/>
        <w:rPr>
          <w:rFonts w:ascii="Times" w:hAnsi="Times"/>
          <w:b/>
          <w:sz w:val="20"/>
          <w:lang w:val="en-GB"/>
        </w:rPr>
      </w:pPr>
      <w:r w:rsidRPr="00F24848">
        <w:rPr>
          <w:rFonts w:ascii="Arial" w:hAnsi="Arial" w:cs="Arial"/>
          <w:b/>
          <w:sz w:val="20"/>
          <w:lang w:val="en-GB"/>
        </w:rPr>
        <w:t>2</w:t>
      </w:r>
      <w:r w:rsidR="00107CF2" w:rsidRPr="00F24848">
        <w:rPr>
          <w:rFonts w:ascii="Arial" w:hAnsi="Arial" w:cs="Arial"/>
          <w:b/>
          <w:sz w:val="20"/>
          <w:lang w:val="en-GB"/>
        </w:rPr>
        <w:t xml:space="preserve">.1 </w:t>
      </w:r>
      <w:r w:rsidR="00CE2F42" w:rsidRPr="00F24848">
        <w:rPr>
          <w:rFonts w:ascii="Arial" w:hAnsi="Arial" w:cs="Arial"/>
          <w:b/>
          <w:sz w:val="20"/>
          <w:lang w:val="en-GB"/>
        </w:rPr>
        <w:t>Study design</w:t>
      </w:r>
    </w:p>
    <w:p w:rsidR="00547B19" w:rsidRPr="00F24848" w:rsidRDefault="00F32088">
      <w:pPr>
        <w:tabs>
          <w:tab w:val="left" w:pos="340"/>
        </w:tabs>
        <w:spacing w:before="340" w:after="170"/>
        <w:jc w:val="both"/>
        <w:rPr>
          <w:rFonts w:ascii="Times" w:hAnsi="Times"/>
          <w:sz w:val="20"/>
          <w:lang w:val="en-GB"/>
        </w:rPr>
      </w:pPr>
      <w:r w:rsidRPr="00F24848">
        <w:rPr>
          <w:rFonts w:ascii="Times" w:hAnsi="Times"/>
          <w:sz w:val="20"/>
          <w:lang w:val="en-GB"/>
        </w:rPr>
        <w:t>Researchers from Company A conducted the inter-rater reliability analysis which involved 16 participants in a-day ENBORA workshop. This research concentrated on the assessment and investigation of inputs delivered from 16 of the observers. Individually, the observers were also needed to measure distinct job</w:t>
      </w:r>
      <w:r w:rsidR="00547B19" w:rsidRPr="00F24848">
        <w:rPr>
          <w:rFonts w:ascii="Times" w:hAnsi="Times"/>
          <w:sz w:val="20"/>
          <w:lang w:val="en-GB"/>
        </w:rPr>
        <w:t xml:space="preserve"> task using the ENBORA method. </w:t>
      </w:r>
      <w:r w:rsidRPr="00F24848">
        <w:rPr>
          <w:rFonts w:ascii="Times" w:hAnsi="Times"/>
          <w:sz w:val="20"/>
          <w:lang w:val="en-GB"/>
        </w:rPr>
        <w:t xml:space="preserve">Among 16 of the observers from Company A, they possess different expertise where </w:t>
      </w:r>
      <w:r w:rsidR="00547B19" w:rsidRPr="00F24848">
        <w:rPr>
          <w:rFonts w:ascii="Times" w:hAnsi="Times"/>
          <w:sz w:val="20"/>
          <w:lang w:val="en-GB"/>
        </w:rPr>
        <w:t>t</w:t>
      </w:r>
      <w:r w:rsidR="00CE2F42" w:rsidRPr="00F24848">
        <w:rPr>
          <w:rFonts w:ascii="Times" w:hAnsi="Times"/>
          <w:sz w:val="20"/>
          <w:lang w:val="en-GB"/>
        </w:rPr>
        <w:t xml:space="preserve">en observers were categorized as executive level group including process engineer, production executive, health, safety and environment (HSE) executive, quality management executive, service executive, parts executive and warehouse assistant manager, while other six observers were categorized as non-executive level including mechanic, administration officer, production operator, production officer, production line leader, and health, safety and environment supervisor. </w:t>
      </w:r>
      <w:r w:rsidR="00547B19" w:rsidRPr="00F24848">
        <w:rPr>
          <w:rFonts w:ascii="Times" w:hAnsi="Times"/>
          <w:sz w:val="20"/>
          <w:lang w:val="en-GB"/>
        </w:rPr>
        <w:t>Six of them had been staying in the same position within the company for two to six years. Nevertheless, four of them had been in employment in the same job scope for 11 to 18 years and six observers had been employed in their current position for longer than 20 years.</w:t>
      </w:r>
    </w:p>
    <w:p w:rsidR="00DB3B4E" w:rsidRPr="00F24848" w:rsidRDefault="000E4989">
      <w:pPr>
        <w:tabs>
          <w:tab w:val="left" w:pos="340"/>
        </w:tabs>
        <w:spacing w:before="340" w:after="170"/>
        <w:jc w:val="both"/>
        <w:rPr>
          <w:rFonts w:ascii="Times" w:hAnsi="Times"/>
          <w:b/>
          <w:sz w:val="20"/>
          <w:lang w:val="en-GB"/>
        </w:rPr>
      </w:pPr>
      <w:r w:rsidRPr="00F24848">
        <w:rPr>
          <w:rFonts w:ascii="Arial" w:hAnsi="Arial" w:cs="Arial"/>
          <w:b/>
          <w:sz w:val="20"/>
          <w:lang w:val="en-GB"/>
        </w:rPr>
        <w:lastRenderedPageBreak/>
        <w:t>2</w:t>
      </w:r>
      <w:r w:rsidR="00DB3B4E" w:rsidRPr="00F24848">
        <w:rPr>
          <w:rFonts w:ascii="Arial" w:hAnsi="Arial" w:cs="Arial"/>
          <w:b/>
          <w:sz w:val="20"/>
          <w:lang w:val="en-GB"/>
        </w:rPr>
        <w:t xml:space="preserve">.2 </w:t>
      </w:r>
      <w:r w:rsidR="00CE2F42" w:rsidRPr="00F24848">
        <w:rPr>
          <w:rFonts w:ascii="Arial" w:hAnsi="Arial" w:cs="Arial"/>
          <w:b/>
          <w:sz w:val="20"/>
          <w:lang w:val="en-GB"/>
        </w:rPr>
        <w:t>Data collection</w:t>
      </w:r>
    </w:p>
    <w:p w:rsidR="00547B19" w:rsidRPr="00F24848" w:rsidRDefault="00547B19">
      <w:pPr>
        <w:tabs>
          <w:tab w:val="left" w:pos="340"/>
        </w:tabs>
        <w:spacing w:before="340" w:after="170"/>
        <w:jc w:val="both"/>
        <w:rPr>
          <w:rFonts w:ascii="Times" w:hAnsi="Times"/>
          <w:sz w:val="20"/>
          <w:lang w:val="en-GB"/>
        </w:rPr>
      </w:pPr>
      <w:r w:rsidRPr="00F24848">
        <w:rPr>
          <w:rFonts w:ascii="Times" w:hAnsi="Times"/>
          <w:sz w:val="20"/>
          <w:lang w:val="en-GB"/>
        </w:rPr>
        <w:t xml:space="preserve">Prior to the execution of </w:t>
      </w:r>
      <w:r w:rsidR="001B5C21" w:rsidRPr="00F24848">
        <w:rPr>
          <w:rFonts w:ascii="Times" w:hAnsi="Times"/>
          <w:sz w:val="20"/>
          <w:lang w:val="en-GB"/>
        </w:rPr>
        <w:t xml:space="preserve">the </w:t>
      </w:r>
      <w:r w:rsidRPr="00F24848">
        <w:rPr>
          <w:rFonts w:ascii="Times" w:hAnsi="Times"/>
          <w:sz w:val="20"/>
          <w:lang w:val="en-GB"/>
        </w:rPr>
        <w:t>ENBORA method, all partici</w:t>
      </w:r>
      <w:r w:rsidR="001B5C21" w:rsidRPr="00F24848">
        <w:rPr>
          <w:rFonts w:ascii="Times" w:hAnsi="Times"/>
          <w:sz w:val="20"/>
          <w:lang w:val="en-GB"/>
        </w:rPr>
        <w:t xml:space="preserve">pants were required to undergo risk assessment. They were also </w:t>
      </w:r>
      <w:r w:rsidRPr="00F24848">
        <w:rPr>
          <w:rFonts w:ascii="Times" w:hAnsi="Times"/>
          <w:sz w:val="20"/>
          <w:lang w:val="en-GB"/>
        </w:rPr>
        <w:t>provided with proper training to execute t</w:t>
      </w:r>
      <w:r w:rsidR="001B5C21" w:rsidRPr="00F24848">
        <w:rPr>
          <w:rFonts w:ascii="Times" w:hAnsi="Times"/>
          <w:sz w:val="20"/>
          <w:lang w:val="en-GB"/>
        </w:rPr>
        <w:t>he method. A 90 minute</w:t>
      </w:r>
      <w:r w:rsidRPr="00F24848">
        <w:rPr>
          <w:rFonts w:ascii="Times" w:hAnsi="Times"/>
          <w:sz w:val="20"/>
          <w:lang w:val="en-GB"/>
        </w:rPr>
        <w:t xml:space="preserve"> briefing </w:t>
      </w:r>
      <w:r w:rsidR="001B5C21" w:rsidRPr="00F24848">
        <w:rPr>
          <w:rFonts w:ascii="Times" w:hAnsi="Times"/>
          <w:sz w:val="20"/>
          <w:lang w:val="en-GB"/>
        </w:rPr>
        <w:t xml:space="preserve">was given to introduce the </w:t>
      </w:r>
      <w:r w:rsidRPr="00F24848">
        <w:rPr>
          <w:rFonts w:ascii="Times" w:hAnsi="Times"/>
          <w:sz w:val="20"/>
          <w:lang w:val="en-GB"/>
        </w:rPr>
        <w:t>and step by step procedure of the method. Additionally, observers were presented with example</w:t>
      </w:r>
      <w:r w:rsidR="001B5C21" w:rsidRPr="00F24848">
        <w:rPr>
          <w:rFonts w:ascii="Times" w:hAnsi="Times"/>
          <w:sz w:val="20"/>
          <w:lang w:val="en-GB"/>
        </w:rPr>
        <w:t>s</w:t>
      </w:r>
      <w:r w:rsidRPr="00F24848">
        <w:rPr>
          <w:rFonts w:ascii="Times" w:hAnsi="Times"/>
          <w:sz w:val="20"/>
          <w:lang w:val="en-GB"/>
        </w:rPr>
        <w:t xml:space="preserve"> of </w:t>
      </w:r>
      <w:r w:rsidR="001B5C21" w:rsidRPr="00F24848">
        <w:rPr>
          <w:rFonts w:ascii="Times" w:hAnsi="Times"/>
          <w:sz w:val="20"/>
          <w:lang w:val="en-GB"/>
        </w:rPr>
        <w:t xml:space="preserve">the </w:t>
      </w:r>
      <w:r w:rsidRPr="00F24848">
        <w:rPr>
          <w:rFonts w:ascii="Times" w:hAnsi="Times"/>
          <w:sz w:val="20"/>
          <w:lang w:val="en-GB"/>
        </w:rPr>
        <w:t>assessment</w:t>
      </w:r>
      <w:r w:rsidR="001B5C21" w:rsidRPr="00F24848">
        <w:rPr>
          <w:rFonts w:ascii="Times" w:hAnsi="Times"/>
          <w:sz w:val="20"/>
          <w:lang w:val="en-GB"/>
        </w:rPr>
        <w:t xml:space="preserve"> to familiarise them with the method. There were</w:t>
      </w:r>
      <w:r w:rsidRPr="00F24848">
        <w:rPr>
          <w:rFonts w:ascii="Times" w:hAnsi="Times"/>
          <w:sz w:val="20"/>
          <w:lang w:val="en-GB"/>
        </w:rPr>
        <w:t xml:space="preserve"> three different tasks </w:t>
      </w:r>
      <w:r w:rsidR="001B5C21" w:rsidRPr="00F24848">
        <w:rPr>
          <w:rFonts w:ascii="Times" w:hAnsi="Times"/>
          <w:sz w:val="20"/>
          <w:lang w:val="en-GB"/>
        </w:rPr>
        <w:t xml:space="preserve">which were </w:t>
      </w:r>
      <w:r w:rsidRPr="00F24848">
        <w:rPr>
          <w:rFonts w:ascii="Times" w:hAnsi="Times"/>
          <w:sz w:val="20"/>
          <w:lang w:val="en-GB"/>
        </w:rPr>
        <w:t>assessed by the observers</w:t>
      </w:r>
      <w:r w:rsidR="001B5C21" w:rsidRPr="00F24848">
        <w:rPr>
          <w:rFonts w:ascii="Times" w:hAnsi="Times"/>
          <w:sz w:val="20"/>
          <w:lang w:val="en-GB"/>
        </w:rPr>
        <w:t>. These tasks were shown through individual</w:t>
      </w:r>
      <w:r w:rsidRPr="00F24848">
        <w:rPr>
          <w:rFonts w:ascii="Times" w:hAnsi="Times"/>
          <w:sz w:val="20"/>
          <w:lang w:val="en-GB"/>
        </w:rPr>
        <w:t xml:space="preserve"> video clip</w:t>
      </w:r>
      <w:r w:rsidR="001B5C21" w:rsidRPr="00F24848">
        <w:rPr>
          <w:rFonts w:ascii="Times" w:hAnsi="Times"/>
          <w:sz w:val="20"/>
          <w:lang w:val="en-GB"/>
        </w:rPr>
        <w:t>s which include</w:t>
      </w:r>
      <w:r w:rsidRPr="00F24848">
        <w:rPr>
          <w:rFonts w:ascii="Times" w:hAnsi="Times"/>
          <w:sz w:val="20"/>
          <w:lang w:val="en-GB"/>
        </w:rPr>
        <w:t xml:space="preserve"> lifting from pallet to conveyor for Task A, creels of wire onto spindles for Task B, and bottling line inspection for Task C. 30 minutes were spent by the observer</w:t>
      </w:r>
      <w:r w:rsidR="005C3A17" w:rsidRPr="00F24848">
        <w:rPr>
          <w:rFonts w:ascii="Times" w:hAnsi="Times"/>
          <w:sz w:val="20"/>
          <w:lang w:val="en-GB"/>
        </w:rPr>
        <w:t>s to evaluateeach case study</w:t>
      </w:r>
      <w:r w:rsidRPr="00F24848">
        <w:rPr>
          <w:rFonts w:ascii="Times" w:hAnsi="Times"/>
          <w:sz w:val="20"/>
          <w:lang w:val="en-GB"/>
        </w:rPr>
        <w:t>. Observe</w:t>
      </w:r>
      <w:r w:rsidR="005C3A17" w:rsidRPr="00F24848">
        <w:rPr>
          <w:rFonts w:ascii="Times" w:hAnsi="Times"/>
          <w:sz w:val="20"/>
          <w:lang w:val="en-GB"/>
        </w:rPr>
        <w:t>rs were given a brief talk</w:t>
      </w:r>
      <w:r w:rsidRPr="00F24848">
        <w:rPr>
          <w:rFonts w:ascii="Times" w:hAnsi="Times"/>
          <w:sz w:val="20"/>
          <w:lang w:val="en-GB"/>
        </w:rPr>
        <w:t xml:space="preserve"> regarding the purpose of the tool, instructions, scoring system, and terms</w:t>
      </w:r>
      <w:r w:rsidR="005C3A17" w:rsidRPr="00F24848">
        <w:rPr>
          <w:rFonts w:ascii="Times" w:hAnsi="Times"/>
          <w:sz w:val="20"/>
          <w:lang w:val="en-GB"/>
        </w:rPr>
        <w:t xml:space="preserve"> used</w:t>
      </w:r>
      <w:r w:rsidRPr="00F24848">
        <w:rPr>
          <w:rFonts w:ascii="Times" w:hAnsi="Times"/>
          <w:sz w:val="20"/>
          <w:lang w:val="en-GB"/>
        </w:rPr>
        <w:t xml:space="preserve"> in the ENBORA method before the videos were played. After that, the video</w:t>
      </w:r>
      <w:r w:rsidR="005C3A17" w:rsidRPr="00F24848">
        <w:rPr>
          <w:rFonts w:ascii="Times" w:hAnsi="Times"/>
          <w:sz w:val="20"/>
          <w:lang w:val="en-GB"/>
        </w:rPr>
        <w:t>s were played</w:t>
      </w:r>
      <w:r w:rsidRPr="00F24848">
        <w:rPr>
          <w:rFonts w:ascii="Times" w:hAnsi="Times"/>
          <w:sz w:val="20"/>
          <w:lang w:val="en-GB"/>
        </w:rPr>
        <w:t xml:space="preserve"> as the</w:t>
      </w:r>
      <w:r w:rsidR="005C3A17" w:rsidRPr="00F24848">
        <w:rPr>
          <w:rFonts w:ascii="Times" w:hAnsi="Times"/>
          <w:sz w:val="20"/>
          <w:lang w:val="en-GB"/>
        </w:rPr>
        <w:t xml:space="preserve"> observers assessed</w:t>
      </w:r>
      <w:r w:rsidRPr="00F24848">
        <w:rPr>
          <w:rFonts w:ascii="Times" w:hAnsi="Times"/>
          <w:sz w:val="20"/>
          <w:lang w:val="en-GB"/>
        </w:rPr>
        <w:t xml:space="preserve"> every recorded task using </w:t>
      </w:r>
      <w:r w:rsidR="005C3A17" w:rsidRPr="00F24848">
        <w:rPr>
          <w:rFonts w:ascii="Times" w:hAnsi="Times"/>
          <w:sz w:val="20"/>
          <w:lang w:val="en-GB"/>
        </w:rPr>
        <w:t>the ENBORA method</w:t>
      </w:r>
      <w:r w:rsidRPr="00F24848">
        <w:rPr>
          <w:rFonts w:ascii="Times" w:hAnsi="Times"/>
          <w:sz w:val="20"/>
          <w:lang w:val="en-GB"/>
        </w:rPr>
        <w:t xml:space="preserve">. The total time </w:t>
      </w:r>
      <w:r w:rsidR="005C3A17" w:rsidRPr="00F24848">
        <w:rPr>
          <w:rFonts w:ascii="Times" w:hAnsi="Times"/>
          <w:sz w:val="20"/>
          <w:lang w:val="en-GB"/>
        </w:rPr>
        <w:t>used to evaluate</w:t>
      </w:r>
      <w:r w:rsidRPr="00F24848">
        <w:rPr>
          <w:rFonts w:ascii="Times" w:hAnsi="Times"/>
          <w:sz w:val="20"/>
          <w:lang w:val="en-GB"/>
        </w:rPr>
        <w:t xml:space="preserve"> the three tasks was one and half hours. In </w:t>
      </w:r>
      <w:r w:rsidR="005C3A17" w:rsidRPr="00F24848">
        <w:rPr>
          <w:rFonts w:ascii="Times" w:hAnsi="Times"/>
          <w:sz w:val="20"/>
          <w:lang w:val="en-GB"/>
        </w:rPr>
        <w:t xml:space="preserve">the case where </w:t>
      </w:r>
      <w:r w:rsidRPr="00F24848">
        <w:rPr>
          <w:rFonts w:ascii="Times" w:hAnsi="Times"/>
          <w:sz w:val="20"/>
          <w:lang w:val="en-GB"/>
        </w:rPr>
        <w:t>any subject fail</w:t>
      </w:r>
      <w:r w:rsidR="005C3A17" w:rsidRPr="00F24848">
        <w:rPr>
          <w:rFonts w:ascii="Times" w:hAnsi="Times"/>
          <w:sz w:val="20"/>
          <w:lang w:val="en-GB"/>
        </w:rPr>
        <w:t>ed</w:t>
      </w:r>
      <w:r w:rsidRPr="00F24848">
        <w:rPr>
          <w:rFonts w:ascii="Times" w:hAnsi="Times"/>
          <w:sz w:val="20"/>
          <w:lang w:val="en-GB"/>
        </w:rPr>
        <w:t xml:space="preserve"> to finish the evaluation within </w:t>
      </w:r>
      <w:r w:rsidR="005C3A17" w:rsidRPr="00F24848">
        <w:rPr>
          <w:rFonts w:ascii="Times" w:hAnsi="Times"/>
          <w:sz w:val="20"/>
          <w:lang w:val="en-GB"/>
        </w:rPr>
        <w:t xml:space="preserve">the given </w:t>
      </w:r>
      <w:r w:rsidRPr="00F24848">
        <w:rPr>
          <w:rFonts w:ascii="Times" w:hAnsi="Times"/>
          <w:sz w:val="20"/>
          <w:lang w:val="en-GB"/>
        </w:rPr>
        <w:t xml:space="preserve">period of time, </w:t>
      </w:r>
      <w:r w:rsidR="005C3A17" w:rsidRPr="00F24848">
        <w:rPr>
          <w:rFonts w:ascii="Times" w:hAnsi="Times"/>
          <w:sz w:val="20"/>
          <w:lang w:val="en-GB"/>
        </w:rPr>
        <w:t xml:space="preserve">the </w:t>
      </w:r>
      <w:r w:rsidRPr="00F24848">
        <w:rPr>
          <w:rFonts w:ascii="Times" w:hAnsi="Times"/>
          <w:sz w:val="20"/>
          <w:lang w:val="en-GB"/>
        </w:rPr>
        <w:t xml:space="preserve">video films were shown again to make certain that all observers managed to complete the evaluation on the specific task.  </w:t>
      </w:r>
    </w:p>
    <w:p w:rsidR="00DB3B4E" w:rsidRPr="00F24848" w:rsidRDefault="000E4989">
      <w:pPr>
        <w:tabs>
          <w:tab w:val="left" w:pos="340"/>
        </w:tabs>
        <w:spacing w:before="340" w:after="170"/>
        <w:jc w:val="both"/>
        <w:rPr>
          <w:rFonts w:ascii="Times" w:hAnsi="Times"/>
          <w:b/>
          <w:sz w:val="20"/>
          <w:lang w:val="en-GB"/>
        </w:rPr>
      </w:pPr>
      <w:r w:rsidRPr="00F24848">
        <w:rPr>
          <w:rFonts w:ascii="Arial" w:hAnsi="Arial" w:cs="Arial"/>
          <w:b/>
          <w:sz w:val="20"/>
          <w:lang w:val="en-GB"/>
        </w:rPr>
        <w:t>2</w:t>
      </w:r>
      <w:r w:rsidR="00DB3B4E" w:rsidRPr="00F24848">
        <w:rPr>
          <w:rFonts w:ascii="Arial" w:hAnsi="Arial" w:cs="Arial"/>
          <w:b/>
          <w:sz w:val="20"/>
          <w:lang w:val="en-GB"/>
        </w:rPr>
        <w:t xml:space="preserve">.3 </w:t>
      </w:r>
      <w:r w:rsidR="00CE2F42" w:rsidRPr="00F24848">
        <w:rPr>
          <w:rFonts w:ascii="Arial" w:hAnsi="Arial" w:cs="Arial"/>
          <w:b/>
          <w:sz w:val="20"/>
          <w:lang w:val="en-GB"/>
        </w:rPr>
        <w:t>Data analysis</w:t>
      </w:r>
    </w:p>
    <w:p w:rsidR="00CE2F42" w:rsidRPr="00F24848" w:rsidRDefault="00547B19">
      <w:pPr>
        <w:spacing w:before="340" w:after="170"/>
        <w:jc w:val="both"/>
        <w:rPr>
          <w:rFonts w:ascii="Times" w:hAnsi="Times"/>
          <w:sz w:val="20"/>
          <w:lang w:val="en-GB"/>
        </w:rPr>
      </w:pPr>
      <w:r w:rsidRPr="00F24848">
        <w:rPr>
          <w:rFonts w:ascii="Times" w:hAnsi="Times"/>
          <w:sz w:val="20"/>
          <w:lang w:val="en-GB"/>
        </w:rPr>
        <w:t>The reliability of the ENBORA method has been assessed using inter-r</w:t>
      </w:r>
      <w:r w:rsidR="005C3A17" w:rsidRPr="00F24848">
        <w:rPr>
          <w:rFonts w:ascii="Times" w:hAnsi="Times"/>
          <w:sz w:val="20"/>
          <w:lang w:val="en-GB"/>
        </w:rPr>
        <w:t>ater reliability. This test aimed</w:t>
      </w:r>
      <w:r w:rsidRPr="00F24848">
        <w:rPr>
          <w:rFonts w:ascii="Times" w:hAnsi="Times"/>
          <w:sz w:val="20"/>
          <w:lang w:val="en-GB"/>
        </w:rPr>
        <w:t xml:space="preserve"> to determine the applicability of </w:t>
      </w:r>
      <w:r w:rsidR="00D62DE0" w:rsidRPr="00F24848">
        <w:rPr>
          <w:rFonts w:ascii="Times" w:hAnsi="Times"/>
          <w:sz w:val="20"/>
          <w:lang w:val="en-GB"/>
        </w:rPr>
        <w:t xml:space="preserve">the </w:t>
      </w:r>
      <w:r w:rsidRPr="00F24848">
        <w:rPr>
          <w:rFonts w:ascii="Times" w:hAnsi="Times"/>
          <w:sz w:val="20"/>
          <w:lang w:val="en-GB"/>
        </w:rPr>
        <w:t>ENBORA method in</w:t>
      </w:r>
      <w:r w:rsidR="00D62DE0" w:rsidRPr="00F24848">
        <w:rPr>
          <w:rFonts w:ascii="Times" w:hAnsi="Times"/>
          <w:sz w:val="20"/>
          <w:lang w:val="en-GB"/>
        </w:rPr>
        <w:t xml:space="preserve"> assessing the workplace risks for</w:t>
      </w:r>
      <w:r w:rsidRPr="00F24848">
        <w:rPr>
          <w:rFonts w:ascii="Times" w:hAnsi="Times"/>
          <w:sz w:val="20"/>
          <w:lang w:val="en-GB"/>
        </w:rPr>
        <w:t xml:space="preserve"> all sectors and job scopes that involve </w:t>
      </w:r>
      <w:r w:rsidR="00D62DE0" w:rsidRPr="00F24848">
        <w:rPr>
          <w:rFonts w:ascii="Times" w:hAnsi="Times"/>
          <w:sz w:val="20"/>
          <w:lang w:val="en-GB"/>
        </w:rPr>
        <w:t xml:space="preserve">the </w:t>
      </w:r>
      <w:r w:rsidRPr="00F24848">
        <w:rPr>
          <w:rFonts w:ascii="Times" w:hAnsi="Times"/>
          <w:sz w:val="20"/>
          <w:lang w:val="en-GB"/>
        </w:rPr>
        <w:t xml:space="preserve">entire body. For the analysis of the inter-rater reliability of the ENBORA method, Cohen’s Kappa coefficients were calculated for the assessment </w:t>
      </w:r>
      <w:r w:rsidR="00D62DE0" w:rsidRPr="00F24848">
        <w:rPr>
          <w:rFonts w:ascii="Times" w:hAnsi="Times"/>
          <w:sz w:val="20"/>
          <w:lang w:val="en-GB"/>
        </w:rPr>
        <w:t>by</w:t>
      </w:r>
      <w:r w:rsidRPr="00F24848">
        <w:rPr>
          <w:rFonts w:ascii="Times" w:hAnsi="Times"/>
          <w:sz w:val="20"/>
          <w:lang w:val="en-GB"/>
        </w:rPr>
        <w:t xml:space="preserve"> 16 observers including the executive and non-executive level team, who evaluated three recorded tasks. </w:t>
      </w:r>
      <w:r w:rsidR="00D62DE0" w:rsidRPr="00F24848">
        <w:rPr>
          <w:rFonts w:ascii="Times" w:hAnsi="Times"/>
          <w:sz w:val="20"/>
          <w:lang w:val="en-GB"/>
        </w:rPr>
        <w:t>Many researchers have used K</w:t>
      </w:r>
      <w:r w:rsidR="00CE2F42" w:rsidRPr="00F24848">
        <w:rPr>
          <w:rFonts w:ascii="Times" w:hAnsi="Times"/>
          <w:sz w:val="20"/>
          <w:lang w:val="en-GB"/>
        </w:rPr>
        <w:t>appa statistic</w:t>
      </w:r>
      <w:r w:rsidR="00D62DE0" w:rsidRPr="00F24848">
        <w:rPr>
          <w:rFonts w:ascii="Times" w:hAnsi="Times"/>
          <w:sz w:val="20"/>
          <w:lang w:val="en-GB"/>
        </w:rPr>
        <w:t>s</w:t>
      </w:r>
      <w:r w:rsidR="00CE2F42" w:rsidRPr="00F24848">
        <w:rPr>
          <w:rFonts w:ascii="Times" w:hAnsi="Times"/>
          <w:sz w:val="20"/>
          <w:lang w:val="en-GB"/>
        </w:rPr>
        <w:t xml:space="preserve"> in posture reliability studies</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"author" : [ { "dropping-particle" : "", "family" : "Burt", "given" : "Susan", "non-dropping-particle" : "", "parse-names" : false, "suffix" : "" }, { "dropping-particle" : "", "family" : "Punnett", "given" : "Laura", "non-dropping-particle" : "", "parse-names" : false, "suffix" : "" } ], "id" : "ITEM-1", "issued" : { "date-parts" : [ [ "1999" ] ] }, "title" : "Evaluation of interrater reliability for posture observations in a field study", "type" : "article-journal", "volume" : "30" }, "uris" : [ "http://www.mendeley.com/documents/?uuid=2be8417f-0e93-4e2a-9c43-057911ce02f5" ] }, { "id" : "ITEM-2", "itemData" : { "DOI" : "10.1016/j.apergo.2007.03.002", "ISBN" : "0003-6870", "ISSN" : "00036870", "PMID" : "17512492", "abstract" : "This paper describes the development and evaluation of the Quick Exposure Check (QEC), which is an observational tool developed for Occupational Safety and Health (OSH) practitioners to assess exposure to risks for work-related musculoskeletal disorders and provide a basis for ergonomic interventions. The tool is based on epidemiological evidence and investigations of OSH practitioners' aptitudes for undertaking assessments. It has been tested, modified and validated using simulated and workplace tasks, in two phases of development, with participation of 206 practitioners. The QEC allows the four main body areas to be assessed and involves practitioners and workers in the assessment. Trials have determined its usability, intra- and inter-observer reliability, and validity which show it is applicable to a wide range of working activities. The tool focuses primarily on physical workplace factors, but also includes the evaluation of psychosocial factors. Tasks can normally be assessed within 10 min. It has a scoring system, and exposure levels have been proposed to guide priorities for intervention. Subsequently it should be used to evaluate the effectiveness of any interventions made. The QEC can contribute to a holistic assessment of all the elements of a work system. ?? 2007 Elsevier Ltd. All rights reserved.", "author" : [ { "dropping-particle" : "", "family" : "David", "given" : "Geoffrey", "non-dropping-particle" : "", "parse-names" : false, "suffix" : "" }, { "dropping-particle" : "", "family" : "Woods", "given" : "Valerie", "non-dropping-particle" : "", "parse-names" : false, "suffix" : "" }, { "dropping-particle" : "", "family" : "Li", "given" : "Guangyan", "non-dropping-particle" : "", "parse-names" : false, "suffix" : "" }, { "dropping-particle" : "", "family" : "Buckle", "given" : "Peter", "non-dropping-particle" : "", "parse-names" : false, "suffix" : "" } ], "container-title" : "Applied Ergonomics", "id" : "ITEM-2", "issue" : "1", "issued" : { "date-parts" : [ [ "2008" ] ] }, "page" : "57-69", "title" : "The development of the Quick Exposure Check (QEC) for assessing exposure to risk factors for work-related musculoskeletal disorders", "type" : "article-journal", "volume" : "39" }, "uris" : [ "http://www.mendeley.com/documents/?uuid=eafb31bf-060f-4bc8-ac54-34b772be5dce" ] }, { "id" : "ITEM-3", "itemData" : { "author" : [ { "dropping-particle" : "", "family" : "Karhu", "given" : "Osmo", "non-dropping-particle" : "", "parse-names" : false, "suffix" : "" }, { "dropping-particle" : "", "family" : "Kansi", "given" : "Pekka", "non-dropping-particle" : "", "parse-names" : false, "suffix" : "" }, { "dropping-particle" : "", "family" : "Kuorinka", "given" : "Ilkka", "non-dropping-particle" : "", "parse-names" : false, "suffix" : "" } ], "id" : "ITEM-3", "issue" : "December", "issued" : { "date-parts" : [ [ "1977" ] ] }, "page" : "199-201", "title" : "Correcting working postures in industry : A practical method for analysis", "type" : "article-journal" }, "uris" : [ "http://www.mendeley.com/documents/?uuid=78c969d6-8a47-4b77-8728-05737c0be784" ] }, { "id" : "ITEM-4", "itemData" : { "ISSN" : "03008134", "abstract" : "This paper describes the development of the Workplace Ergonomic Risk Assessment (WERA) for investigating the physical risk factor associated with work-related musculoskeletal disorders (WMSDs). The initial development of WERA tool involved the following procedures: (1) first stage, development of WERA prototype from literature review, (2) second stage, evaluation of the psychometric properties including (a) validity trials and (b) reliability and usability trials. In the validity trials, the relationship of the individual WERA body part scores to the development of pain or discomfort is statistically significant for the wrist, shoulder and back regions. It shows that the WERA assessment provided a good indication of work-related musculoskeletal disorders which might be reported as pain, ache or discomfort in the relevant body regions. In the reliability trials, the results of inter-observer reliability shows that moderate agreement among the observers while from the feedback questionnaire survey about the usability of WERA tool, all participants including expert and management teams agreed that the prototype of WERA tool was easy and quick to use, applicable to workplace assessment for the wide range of job/task and valuable at work. It was confirmed that there was no need of training required to do WERA assessment. Therefore, the WERA assessment has been designed for easy and quick use, and for those who are trained to use it do not need previous skills in observation techniques although this would be an advantage. As WERA is a pen and paper technique that can be used without any special equipment, WERA assessment can be done in any space of workplaces without disruption to the task that have been observed.", "author" : [ { "dropping-particle" : "", "family" : "Abd Rahman", "given" : "Mohd N asrull", "non-dropping-particle" : "", "parse-names" : false, "suffix" : "" }, { "dropping-particle" : "", "family" : "Abdul Rani", "given" : "Mat R ebi", "non-dropping-particle" : "", "parse-names" : false, "suffix" : "" }, { "dropping-particle" : "", "family" : "Rohani", "given" : "Jafri M ohd", "non-dropping-particle" : "", "parse-names" : false, "suffix" : "" } ], "container-title" : "Journal of human ergology", "id" : "ITEM-4", "issue" : "1-2", "issued" : { "date-parts" : [ [ "2011" ] ] }, "page" : "19-36", "title" : "WERA: an observational tool develop to investigate the physical risk factor associated with WMSDs", "type" : "article-journal", "volume" : "40" }, "uris" : [ "http://www.mendeley.com/documents/?uuid=95871dcc-eec0-480e-b71a-c43bd71452c2" ] } ], "mendeley" : { "formattedCitation" : "[10], [12], [14], [21]", "manualFormatting" : "[10, 12, 14, 21]", "plainTextFormattedCitation" : "[10], [12], [14], [21]", "previouslyFormattedCitation" : "[10], [12], [14], [21]"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[10, 12, 14, 21]</w:t>
      </w:r>
      <w:r w:rsidR="00BF374D" w:rsidRPr="00F24848">
        <w:rPr>
          <w:rFonts w:ascii="Times" w:hAnsi="Times"/>
          <w:sz w:val="20"/>
          <w:lang w:val="en-GB"/>
        </w:rPr>
        <w:fldChar w:fldCharType="end"/>
      </w:r>
      <w:r w:rsidR="00680DD6" w:rsidRPr="00F24848">
        <w:rPr>
          <w:rFonts w:ascii="Times" w:hAnsi="Times"/>
          <w:sz w:val="20"/>
          <w:lang w:val="en-GB"/>
        </w:rPr>
        <w:t xml:space="preserve">. </w:t>
      </w:r>
      <w:r w:rsidRPr="00F24848">
        <w:rPr>
          <w:rFonts w:ascii="Times" w:hAnsi="Times"/>
          <w:sz w:val="20"/>
          <w:lang w:val="en-GB"/>
        </w:rPr>
        <w:t xml:space="preserve">Knowing that the subject’s occupation may have some influence in defining the results, further investigation of the results was performed. If the Cohen’s Kappa (K) value are less than 0, it indicates lesser value than change agreement, K=0.01-0.20 is poor agreement, K=0.21-0.40 is fair agreement, while K=0.41- 0.60 is moderate agreement, K=0.61-0.80 is a good agreement and if K=0.81-1, it is very good agreement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"ISBN" : "0412276305", "author" : [ { "dropping-particle" : "", "family" : "Altman", "given" : "Douglas G", "non-dropping-particle" : "", "parse-names" : false, "suffix" : "" } ], "id" : "ITEM-1", "issued" : { "date-parts" : [ [ "1990" ] ] }, "publisher" : "CRC press", "title" : "Practical statistics for medical research", "type" : "book" }, "uris" : [ "http://www.mendeley.com/documents/?uuid=dfb7822b-2597-4a35-a02d-cbe0872eeee6" ] } ], "mendeley" : { "formattedCitation" : "[22]", "plainTextFormattedCitation" : "[22]", "previouslyFormattedCitation" : "[22]"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[22]</w:t>
      </w:r>
      <w:r w:rsidR="00BF374D" w:rsidRPr="00F24848">
        <w:rPr>
          <w:rFonts w:ascii="Times" w:hAnsi="Times"/>
          <w:sz w:val="20"/>
          <w:lang w:val="en-GB"/>
        </w:rPr>
        <w:fldChar w:fldCharType="end"/>
      </w:r>
      <w:r w:rsidR="00680DD6" w:rsidRPr="00F24848">
        <w:rPr>
          <w:rFonts w:ascii="Times" w:hAnsi="Times"/>
          <w:sz w:val="20"/>
          <w:lang w:val="en-GB"/>
        </w:rPr>
        <w:t xml:space="preserve">. </w:t>
      </w:r>
      <w:r w:rsidR="00D62DE0" w:rsidRPr="00F24848">
        <w:rPr>
          <w:rFonts w:ascii="Times" w:hAnsi="Times"/>
          <w:sz w:val="20"/>
          <w:lang w:val="en-GB"/>
        </w:rPr>
        <w:t>In order to obtain</w:t>
      </w:r>
      <w:r w:rsidRPr="00F24848">
        <w:rPr>
          <w:rFonts w:ascii="Times" w:hAnsi="Times"/>
          <w:sz w:val="20"/>
          <w:lang w:val="en-GB"/>
        </w:rPr>
        <w:t xml:space="preserve"> Cohen’s Kappa value, the difference</w:t>
      </w:r>
      <w:r w:rsidR="00D62DE0" w:rsidRPr="00F24848">
        <w:rPr>
          <w:rFonts w:ascii="Times" w:hAnsi="Times"/>
          <w:sz w:val="20"/>
          <w:lang w:val="en-GB"/>
        </w:rPr>
        <w:t>s</w:t>
      </w:r>
      <w:r w:rsidRPr="00F24848">
        <w:rPr>
          <w:rFonts w:ascii="Times" w:hAnsi="Times"/>
          <w:sz w:val="20"/>
          <w:lang w:val="en-GB"/>
        </w:rPr>
        <w:t xml:space="preserve"> between the values of observed agreement and expected agreement were compared. Observed agreement is the existing agreement, while expected agreement is the agreement that is supposed to occur only by chance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"author" : [ { "dropping-particle" : "", "family" : "Viera", "given" : "Anthony J", "non-dropping-particle" : "", "parse-names" : false, "suffix" : "" }, { "dropping-particle" : "", "family" : "Garrett", "given" : "Joanne M", "non-dropping-particle" : "", "parse-names" : false, "suffix" : "" } ], "id" : "ITEM-1", "issue" : "May", "issued" : { "date-parts" : [ [ "2005" ] ] }, "page" : "360-363", "title" : "Understanding Interobserver Agreement : The Kappa Statistic", "type" : "article-journal" }, "uris" : [ "http://www.mendeley.com/documents/?uuid=80359353-cd4b-4828-bc83-b27d86d1dd4f" ] } ], "mendeley" : { "formattedCitation" : "[23]", "plainTextFormattedCitation" : "[23]", "previouslyFormattedCitation" : "[23]"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[23]</w:t>
      </w:r>
      <w:r w:rsidR="00BF374D" w:rsidRPr="00F24848">
        <w:rPr>
          <w:rFonts w:ascii="Times" w:hAnsi="Times"/>
          <w:sz w:val="20"/>
          <w:lang w:val="en-GB"/>
        </w:rPr>
        <w:fldChar w:fldCharType="end"/>
      </w:r>
      <w:r w:rsidR="00680DD6" w:rsidRPr="00F24848">
        <w:rPr>
          <w:rFonts w:ascii="Times" w:hAnsi="Times"/>
          <w:sz w:val="20"/>
          <w:lang w:val="en-GB"/>
        </w:rPr>
        <w:t xml:space="preserve">. </w:t>
      </w:r>
      <w:r w:rsidR="00CE2F42" w:rsidRPr="00F24848">
        <w:rPr>
          <w:rFonts w:ascii="Times" w:hAnsi="Times"/>
          <w:sz w:val="20"/>
          <w:lang w:val="en-GB"/>
        </w:rPr>
        <w:t>The formula below was used for the inter-rater reliability analysis</w:t>
      </w:r>
      <w:r w:rsidR="0018487E">
        <w:rPr>
          <w:rFonts w:ascii="Times" w:hAnsi="Times"/>
          <w:sz w:val="20"/>
          <w:lang w:val="en-GB"/>
        </w:rPr>
        <w:t xml:space="preserve"> </w:t>
      </w:r>
      <w:r w:rsidR="00BF374D" w:rsidRPr="00F24848">
        <w:rPr>
          <w:rFonts w:ascii="Times" w:hAnsi="Times"/>
          <w:sz w:val="20"/>
          <w:lang w:val="en-GB"/>
        </w:rPr>
        <w:fldChar w:fldCharType="begin" w:fldLock="1"/>
      </w:r>
      <w:r w:rsidR="00E5477F" w:rsidRPr="00F24848">
        <w:rPr>
          <w:rFonts w:ascii="Times" w:hAnsi="Times"/>
          <w:sz w:val="20"/>
          <w:lang w:val="en-GB"/>
        </w:rPr>
        <w:instrText>ADDIN CSL_CITATION { "citationItems" : [ { "id" : "ITEM-1", "itemData" : { "ISBN" : "0412276305", "author" : [ { "dropping-particle" : "", "family" : "Altman", "given" : "Douglas G", "non-dropping-particle" : "", "parse-names" : false, "suffix" : "" } ], "id" : "ITEM-1", "issued" : { "date-parts" : [ [ "1990" ] ] }, "publisher" : "CRC press", "title" : "Practical statistics for medical research", "type" : "book" }, "uris" : [ "http://www.mendeley.com/documents/?uuid=dfb7822b-2597-4a35-a02d-cbe0872eeee6" ] } ], "mendeley" : { "formattedCitation" : "[22]", "plainTextFormattedCitation" : "[22]", "previouslyFormattedCitation" : "[22]" }, "properties" : { "noteIndex" : 0 }, "schema" : "https://github.com/citation-style-language/schema/raw/master/csl-citation.json" }</w:instrText>
      </w:r>
      <w:r w:rsidR="00BF374D" w:rsidRPr="00F24848">
        <w:rPr>
          <w:rFonts w:ascii="Times" w:hAnsi="Times"/>
          <w:sz w:val="20"/>
          <w:lang w:val="en-GB"/>
        </w:rPr>
        <w:fldChar w:fldCharType="separate"/>
      </w:r>
      <w:r w:rsidR="00E5477F" w:rsidRPr="00F24848">
        <w:rPr>
          <w:rFonts w:ascii="Times" w:hAnsi="Times"/>
          <w:noProof/>
          <w:sz w:val="20"/>
          <w:lang w:val="en-GB"/>
        </w:rPr>
        <w:t>[22]</w:t>
      </w:r>
      <w:r w:rsidR="00BF374D" w:rsidRPr="00F24848">
        <w:rPr>
          <w:rFonts w:ascii="Times" w:hAnsi="Times"/>
          <w:sz w:val="20"/>
          <w:lang w:val="en-GB"/>
        </w:rPr>
        <w:fldChar w:fldCharType="end"/>
      </w:r>
      <w:r w:rsidR="00680DD6" w:rsidRPr="00F24848">
        <w:rPr>
          <w:rFonts w:ascii="Times" w:hAnsi="Times"/>
          <w:sz w:val="20"/>
          <w:lang w:val="en-GB"/>
        </w:rPr>
        <w:t xml:space="preserve">. </w:t>
      </w:r>
    </w:p>
    <w:p w:rsidR="002B5EE3" w:rsidRPr="00F24848" w:rsidRDefault="00CE2F42" w:rsidP="00CE2F42">
      <w:pPr>
        <w:spacing w:before="170" w:after="170"/>
        <w:jc w:val="right"/>
        <w:rPr>
          <w:rFonts w:ascii="Times" w:hAnsi="Times"/>
          <w:sz w:val="20"/>
        </w:rPr>
      </w:pPr>
      <w:r w:rsidRPr="00F24848">
        <w:rPr>
          <w:rFonts w:ascii="Times" w:hAnsi="Times"/>
          <w:i/>
          <w:iCs/>
          <w:sz w:val="20"/>
        </w:rPr>
        <w:t>Kappa, K = (po-pe)/(1-pe)</w:t>
      </w:r>
      <w:r w:rsidR="00DB3B4E" w:rsidRPr="00F24848">
        <w:rPr>
          <w:rFonts w:ascii="Times" w:hAnsi="Times"/>
          <w:sz w:val="20"/>
        </w:rPr>
        <w:tab/>
      </w:r>
      <w:r w:rsidR="00DB3B4E" w:rsidRPr="00F24848">
        <w:rPr>
          <w:rFonts w:ascii="Times" w:hAnsi="Times"/>
          <w:sz w:val="20"/>
        </w:rPr>
        <w:tab/>
      </w:r>
      <w:r w:rsidR="00DB3B4E" w:rsidRPr="00F24848">
        <w:rPr>
          <w:rFonts w:ascii="Times" w:hAnsi="Times"/>
          <w:sz w:val="20"/>
        </w:rPr>
        <w:tab/>
      </w:r>
      <w:r w:rsidR="00DB3B4E" w:rsidRPr="00F24848">
        <w:rPr>
          <w:rFonts w:ascii="Times" w:hAnsi="Times"/>
          <w:sz w:val="20"/>
        </w:rPr>
        <w:tab/>
      </w:r>
      <w:r w:rsidR="00DB3B4E" w:rsidRPr="00F24848">
        <w:rPr>
          <w:rFonts w:ascii="Times" w:hAnsi="Times"/>
          <w:sz w:val="20"/>
        </w:rPr>
        <w:tab/>
      </w:r>
      <w:r w:rsidR="00DB3B4E" w:rsidRPr="00F24848">
        <w:rPr>
          <w:rFonts w:ascii="Times" w:hAnsi="Times"/>
          <w:sz w:val="20"/>
        </w:rPr>
        <w:tab/>
        <w:t xml:space="preserve"> (1)</w:t>
      </w:r>
    </w:p>
    <w:p w:rsidR="00CE2F42" w:rsidRPr="00F24848" w:rsidRDefault="00CE2F42" w:rsidP="00CE2F42">
      <w:pPr>
        <w:jc w:val="center"/>
        <w:rPr>
          <w:rFonts w:ascii="Times" w:hAnsi="Times"/>
          <w:sz w:val="18"/>
          <w:szCs w:val="18"/>
          <w:lang w:val="en-GB"/>
        </w:rPr>
      </w:pPr>
      <w:r w:rsidRPr="00F24848">
        <w:rPr>
          <w:rFonts w:ascii="Times" w:hAnsi="Times"/>
          <w:sz w:val="18"/>
          <w:szCs w:val="18"/>
          <w:lang w:val="en-GB"/>
        </w:rPr>
        <w:t xml:space="preserve">Where, </w:t>
      </w:r>
      <w:r w:rsidRPr="00F24848">
        <w:rPr>
          <w:rFonts w:ascii="Times" w:hAnsi="Times"/>
          <w:i/>
          <w:sz w:val="18"/>
          <w:szCs w:val="18"/>
          <w:lang w:val="en-GB"/>
        </w:rPr>
        <w:t>po</w:t>
      </w:r>
      <w:r w:rsidRPr="00F24848">
        <w:rPr>
          <w:rFonts w:ascii="Times" w:hAnsi="Times"/>
          <w:sz w:val="18"/>
          <w:szCs w:val="18"/>
          <w:lang w:val="en-GB"/>
        </w:rPr>
        <w:t xml:space="preserve"> = observed agreement,</w:t>
      </w:r>
    </w:p>
    <w:p w:rsidR="00CE2F42" w:rsidRPr="00F24848" w:rsidRDefault="00E5477F" w:rsidP="00CE2F42">
      <w:pPr>
        <w:jc w:val="center"/>
        <w:rPr>
          <w:rFonts w:ascii="Times" w:hAnsi="Times"/>
          <w:sz w:val="18"/>
          <w:szCs w:val="18"/>
          <w:lang w:val="en-GB"/>
        </w:rPr>
      </w:pPr>
      <w:r w:rsidRPr="00F24848">
        <w:rPr>
          <w:rFonts w:ascii="Times" w:hAnsi="Times"/>
          <w:i/>
          <w:sz w:val="18"/>
          <w:szCs w:val="18"/>
          <w:lang w:val="en-GB"/>
        </w:rPr>
        <w:t>p</w:t>
      </w:r>
      <w:r w:rsidR="00CE2F42" w:rsidRPr="00F24848">
        <w:rPr>
          <w:rFonts w:ascii="Times" w:hAnsi="Times"/>
          <w:i/>
          <w:sz w:val="18"/>
          <w:szCs w:val="18"/>
          <w:lang w:val="en-GB"/>
        </w:rPr>
        <w:t>e</w:t>
      </w:r>
      <w:r w:rsidR="00CE2F42" w:rsidRPr="00F24848">
        <w:rPr>
          <w:rFonts w:ascii="Times" w:hAnsi="Times"/>
          <w:sz w:val="18"/>
          <w:szCs w:val="18"/>
          <w:lang w:val="en-GB"/>
        </w:rPr>
        <w:t xml:space="preserve"> = expected agreement</w:t>
      </w:r>
    </w:p>
    <w:p w:rsidR="00E5477F" w:rsidRPr="00F24848" w:rsidRDefault="00E5477F" w:rsidP="00CE2F42">
      <w:pPr>
        <w:jc w:val="both"/>
        <w:rPr>
          <w:rFonts w:ascii="Times" w:hAnsi="Times"/>
          <w:sz w:val="20"/>
          <w:lang w:val="en-GB"/>
        </w:rPr>
      </w:pPr>
    </w:p>
    <w:p w:rsidR="00CE2F42" w:rsidRPr="00BD29FF" w:rsidRDefault="00CE2F42" w:rsidP="00CE2F42">
      <w:pPr>
        <w:jc w:val="both"/>
        <w:rPr>
          <w:rFonts w:ascii="Times" w:hAnsi="Times"/>
          <w:sz w:val="20"/>
          <w:lang w:val="en-GB"/>
        </w:rPr>
      </w:pPr>
      <w:r w:rsidRPr="00F24848">
        <w:rPr>
          <w:rFonts w:ascii="Times" w:hAnsi="Times"/>
          <w:sz w:val="20"/>
          <w:lang w:val="en-GB"/>
        </w:rPr>
        <w:t>The percentage of agreement was also calculated for the observers group, which included the executive and non-executive level team. The mean, standard deviation (SD) were used to evaluate and analyse the demographic data of the 16 participants in ENBORA training session.</w:t>
      </w:r>
    </w:p>
    <w:p w:rsidR="00E5477F" w:rsidRPr="00BD29FF" w:rsidRDefault="00E5477F" w:rsidP="00CE2F42">
      <w:pPr>
        <w:spacing w:before="340" w:after="170"/>
        <w:jc w:val="both"/>
        <w:rPr>
          <w:rFonts w:ascii="Arial" w:hAnsi="Arial" w:cs="Arial"/>
          <w:b/>
          <w:caps/>
          <w:szCs w:val="24"/>
          <w:lang w:val="en-GB"/>
        </w:rPr>
      </w:pPr>
    </w:p>
    <w:p w:rsidR="00CE2F42" w:rsidRPr="00BD29FF" w:rsidRDefault="00CE2F42" w:rsidP="00CE2F42">
      <w:pPr>
        <w:spacing w:before="340" w:after="170"/>
        <w:jc w:val="both"/>
        <w:rPr>
          <w:rFonts w:ascii="Arial" w:hAnsi="Arial" w:cs="Arial"/>
          <w:b/>
          <w:szCs w:val="24"/>
          <w:lang w:val="en-GB"/>
        </w:rPr>
      </w:pPr>
      <w:r w:rsidRPr="00BD29FF">
        <w:rPr>
          <w:rFonts w:ascii="Arial" w:hAnsi="Arial" w:cs="Arial"/>
          <w:b/>
          <w:caps/>
          <w:szCs w:val="24"/>
          <w:lang w:val="en-GB"/>
        </w:rPr>
        <w:lastRenderedPageBreak/>
        <w:t xml:space="preserve">3 </w:t>
      </w:r>
      <w:r w:rsidRPr="00BD29FF">
        <w:rPr>
          <w:rFonts w:ascii="Arial" w:hAnsi="Arial" w:cs="Arial"/>
          <w:b/>
          <w:szCs w:val="24"/>
          <w:lang w:val="en-GB"/>
        </w:rPr>
        <w:t>Results</w:t>
      </w:r>
    </w:p>
    <w:p w:rsidR="00CE2F42" w:rsidRPr="00F24848" w:rsidRDefault="00CE2F42" w:rsidP="00CE2F42">
      <w:pPr>
        <w:tabs>
          <w:tab w:val="left" w:pos="340"/>
        </w:tabs>
        <w:spacing w:before="340" w:after="170"/>
        <w:jc w:val="both"/>
        <w:rPr>
          <w:rFonts w:ascii="Times" w:hAnsi="Times"/>
          <w:b/>
          <w:sz w:val="20"/>
          <w:lang w:val="en-GB"/>
        </w:rPr>
      </w:pPr>
      <w:r w:rsidRPr="00F24848">
        <w:rPr>
          <w:rFonts w:ascii="Arial" w:hAnsi="Arial" w:cs="Arial"/>
          <w:b/>
          <w:sz w:val="20"/>
          <w:lang w:val="en-GB"/>
        </w:rPr>
        <w:t>3.1 Demographic item</w:t>
      </w:r>
    </w:p>
    <w:p w:rsidR="00CE2F42" w:rsidRPr="00F24848" w:rsidRDefault="00CE2F42" w:rsidP="00CE2F42">
      <w:pPr>
        <w:jc w:val="both"/>
        <w:rPr>
          <w:rFonts w:ascii="Times" w:hAnsi="Times"/>
          <w:sz w:val="20"/>
          <w:lang w:val="en-GB"/>
        </w:rPr>
      </w:pPr>
      <w:r w:rsidRPr="00F24848">
        <w:rPr>
          <w:rFonts w:ascii="Times" w:hAnsi="Times"/>
          <w:sz w:val="20"/>
          <w:lang w:val="en-GB"/>
        </w:rPr>
        <w:t xml:space="preserve">Table </w:t>
      </w:r>
      <w:r w:rsidR="00680DD6" w:rsidRPr="00F24848">
        <w:rPr>
          <w:rFonts w:ascii="Times" w:hAnsi="Times"/>
          <w:sz w:val="20"/>
          <w:lang w:val="en-GB"/>
        </w:rPr>
        <w:t>1</w:t>
      </w:r>
      <w:r w:rsidRPr="00F24848">
        <w:rPr>
          <w:rFonts w:ascii="Times" w:hAnsi="Times"/>
          <w:sz w:val="20"/>
          <w:lang w:val="en-GB"/>
        </w:rPr>
        <w:t xml:space="preserve"> shows the demographics data of the observers in ENBORA training sessions. </w:t>
      </w:r>
      <w:r w:rsidR="00547B19" w:rsidRPr="00F24848">
        <w:rPr>
          <w:rFonts w:ascii="Times" w:hAnsi="Times"/>
          <w:sz w:val="20"/>
          <w:lang w:val="en-GB"/>
        </w:rPr>
        <w:t xml:space="preserve">The total mean age of the observers (N=16) for the age range between 27 to 49 years old is 37.06 years and (SD=8.27). Meanwhile, the total mean for working experience for the range between the 2 to 27 years are 14.19 years and (SD=9.53). </w:t>
      </w:r>
    </w:p>
    <w:p w:rsidR="00420A29" w:rsidRPr="00F24848" w:rsidRDefault="00420A29" w:rsidP="00420A29">
      <w:pPr>
        <w:spacing w:before="120" w:after="120"/>
        <w:jc w:val="center"/>
        <w:rPr>
          <w:rFonts w:ascii="Times" w:hAnsi="Times"/>
          <w:iCs/>
          <w:sz w:val="18"/>
          <w:szCs w:val="16"/>
          <w:lang w:val="en-GB"/>
        </w:rPr>
      </w:pPr>
      <w:r w:rsidRPr="00F24848">
        <w:rPr>
          <w:rFonts w:ascii="Times" w:hAnsi="Times"/>
          <w:b/>
          <w:bCs/>
          <w:iCs/>
          <w:sz w:val="18"/>
          <w:szCs w:val="16"/>
          <w:lang w:val="en-GB"/>
        </w:rPr>
        <w:t>Table 1.</w:t>
      </w:r>
      <w:r w:rsidRPr="00F24848">
        <w:rPr>
          <w:rFonts w:ascii="Times" w:hAnsi="Times"/>
          <w:iCs/>
          <w:sz w:val="18"/>
          <w:szCs w:val="16"/>
          <w:lang w:val="en-GB"/>
        </w:rPr>
        <w:t xml:space="preserve"> Demographics data of the observers in ENBORA training session.</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851"/>
        <w:gridCol w:w="708"/>
        <w:gridCol w:w="727"/>
        <w:gridCol w:w="833"/>
        <w:gridCol w:w="708"/>
        <w:gridCol w:w="993"/>
      </w:tblGrid>
      <w:tr w:rsidR="00420A29" w:rsidRPr="00F24848" w:rsidTr="00170C0C">
        <w:trPr>
          <w:trHeight w:val="230"/>
          <w:jc w:val="center"/>
        </w:trPr>
        <w:tc>
          <w:tcPr>
            <w:tcW w:w="2405" w:type="dxa"/>
            <w:vMerge w:val="restart"/>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 xml:space="preserve">Group of </w:t>
            </w:r>
            <w:r w:rsidR="00967D66" w:rsidRPr="00F24848">
              <w:rPr>
                <w:rFonts w:ascii="Times" w:eastAsia="Calibri" w:hAnsi="Times" w:cs="Times"/>
                <w:sz w:val="18"/>
                <w:szCs w:val="18"/>
              </w:rPr>
              <w:t>observer</w:t>
            </w:r>
          </w:p>
        </w:tc>
        <w:tc>
          <w:tcPr>
            <w:tcW w:w="2286" w:type="dxa"/>
            <w:gridSpan w:val="3"/>
            <w:shd w:val="clear" w:color="auto" w:fill="auto"/>
            <w:vAlign w:val="center"/>
          </w:tcPr>
          <w:p w:rsidR="00420A29" w:rsidRPr="00F24848" w:rsidRDefault="00967D66" w:rsidP="00170C0C">
            <w:pPr>
              <w:jc w:val="center"/>
              <w:rPr>
                <w:rFonts w:ascii="Times" w:eastAsia="Calibri" w:hAnsi="Times" w:cs="Times"/>
                <w:sz w:val="18"/>
                <w:szCs w:val="18"/>
              </w:rPr>
            </w:pPr>
            <w:r w:rsidRPr="00F24848">
              <w:rPr>
                <w:rFonts w:ascii="Times" w:eastAsia="Calibri" w:hAnsi="Times" w:cs="Times"/>
                <w:sz w:val="18"/>
                <w:szCs w:val="18"/>
              </w:rPr>
              <w:t>Age (</w:t>
            </w:r>
            <w:r w:rsidR="00420A29" w:rsidRPr="00F24848">
              <w:rPr>
                <w:rFonts w:ascii="Times" w:eastAsia="Calibri" w:hAnsi="Times" w:cs="Times"/>
                <w:sz w:val="18"/>
                <w:szCs w:val="18"/>
              </w:rPr>
              <w:t>Year)</w:t>
            </w:r>
          </w:p>
        </w:tc>
        <w:tc>
          <w:tcPr>
            <w:tcW w:w="2534" w:type="dxa"/>
            <w:gridSpan w:val="3"/>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WorkingExperience (Year)</w:t>
            </w:r>
          </w:p>
        </w:tc>
      </w:tr>
      <w:tr w:rsidR="00420A29" w:rsidRPr="00F24848" w:rsidTr="00170C0C">
        <w:trPr>
          <w:trHeight w:val="236"/>
          <w:jc w:val="center"/>
        </w:trPr>
        <w:tc>
          <w:tcPr>
            <w:tcW w:w="2405" w:type="dxa"/>
            <w:vMerge/>
            <w:shd w:val="clear" w:color="auto" w:fill="auto"/>
            <w:vAlign w:val="center"/>
          </w:tcPr>
          <w:p w:rsidR="00420A29" w:rsidRPr="00F24848" w:rsidRDefault="00420A29" w:rsidP="00170C0C">
            <w:pPr>
              <w:jc w:val="center"/>
              <w:rPr>
                <w:rFonts w:ascii="Times" w:eastAsia="Calibri" w:hAnsi="Times" w:cs="Times"/>
                <w:sz w:val="18"/>
                <w:szCs w:val="18"/>
              </w:rPr>
            </w:pPr>
          </w:p>
        </w:tc>
        <w:tc>
          <w:tcPr>
            <w:tcW w:w="851"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Mean</w:t>
            </w:r>
          </w:p>
        </w:tc>
        <w:tc>
          <w:tcPr>
            <w:tcW w:w="708"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SD</w:t>
            </w:r>
          </w:p>
        </w:tc>
        <w:tc>
          <w:tcPr>
            <w:tcW w:w="727"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Range</w:t>
            </w:r>
          </w:p>
        </w:tc>
        <w:tc>
          <w:tcPr>
            <w:tcW w:w="833"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Mean</w:t>
            </w:r>
          </w:p>
        </w:tc>
        <w:tc>
          <w:tcPr>
            <w:tcW w:w="708"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SD</w:t>
            </w:r>
          </w:p>
        </w:tc>
        <w:tc>
          <w:tcPr>
            <w:tcW w:w="993"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Range</w:t>
            </w:r>
          </w:p>
        </w:tc>
      </w:tr>
      <w:tr w:rsidR="00420A29" w:rsidRPr="00F24848" w:rsidTr="00170C0C">
        <w:trPr>
          <w:trHeight w:val="166"/>
          <w:jc w:val="center"/>
        </w:trPr>
        <w:tc>
          <w:tcPr>
            <w:tcW w:w="2405"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Executivelevel</w:t>
            </w:r>
            <w:r w:rsidRPr="00F24848">
              <w:rPr>
                <w:rFonts w:ascii="Times" w:eastAsia="Calibri" w:hAnsi="Times" w:cs="Times"/>
                <w:sz w:val="18"/>
                <w:szCs w:val="18"/>
                <w:vertAlign w:val="superscript"/>
              </w:rPr>
              <w:t>a</w:t>
            </w:r>
            <w:r w:rsidRPr="00F24848">
              <w:rPr>
                <w:rFonts w:ascii="Times" w:eastAsia="Calibri" w:hAnsi="Times" w:cs="Times"/>
                <w:sz w:val="18"/>
                <w:szCs w:val="18"/>
              </w:rPr>
              <w:t xml:space="preserve"> (n=10)</w:t>
            </w:r>
          </w:p>
        </w:tc>
        <w:tc>
          <w:tcPr>
            <w:tcW w:w="851"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36.80</w:t>
            </w:r>
          </w:p>
        </w:tc>
        <w:tc>
          <w:tcPr>
            <w:tcW w:w="708"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8.35</w:t>
            </w:r>
          </w:p>
        </w:tc>
        <w:tc>
          <w:tcPr>
            <w:tcW w:w="727"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22</w:t>
            </w:r>
          </w:p>
        </w:tc>
        <w:tc>
          <w:tcPr>
            <w:tcW w:w="833"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14.20</w:t>
            </w:r>
          </w:p>
        </w:tc>
        <w:tc>
          <w:tcPr>
            <w:tcW w:w="708"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10.51</w:t>
            </w:r>
          </w:p>
        </w:tc>
        <w:tc>
          <w:tcPr>
            <w:tcW w:w="993"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25</w:t>
            </w:r>
          </w:p>
        </w:tc>
      </w:tr>
      <w:tr w:rsidR="00420A29" w:rsidRPr="00F24848" w:rsidTr="00170C0C">
        <w:trPr>
          <w:jc w:val="center"/>
        </w:trPr>
        <w:tc>
          <w:tcPr>
            <w:tcW w:w="2405"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Non-executivelevel</w:t>
            </w:r>
            <w:r w:rsidRPr="00F24848">
              <w:rPr>
                <w:rFonts w:ascii="Times" w:eastAsia="Calibri" w:hAnsi="Times" w:cs="Times"/>
                <w:sz w:val="18"/>
                <w:szCs w:val="18"/>
                <w:vertAlign w:val="superscript"/>
              </w:rPr>
              <w:t>b</w:t>
            </w:r>
            <w:r w:rsidRPr="00F24848">
              <w:rPr>
                <w:rFonts w:ascii="Times" w:eastAsia="Calibri" w:hAnsi="Times" w:cs="Times"/>
                <w:sz w:val="18"/>
                <w:szCs w:val="18"/>
              </w:rPr>
              <w:t>(n=6)</w:t>
            </w:r>
          </w:p>
        </w:tc>
        <w:tc>
          <w:tcPr>
            <w:tcW w:w="851"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37.50</w:t>
            </w:r>
          </w:p>
        </w:tc>
        <w:tc>
          <w:tcPr>
            <w:tcW w:w="708"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8.89</w:t>
            </w:r>
          </w:p>
        </w:tc>
        <w:tc>
          <w:tcPr>
            <w:tcW w:w="727"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22</w:t>
            </w:r>
          </w:p>
        </w:tc>
        <w:tc>
          <w:tcPr>
            <w:tcW w:w="833"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14.17</w:t>
            </w:r>
          </w:p>
        </w:tc>
        <w:tc>
          <w:tcPr>
            <w:tcW w:w="708"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8.59</w:t>
            </w:r>
          </w:p>
        </w:tc>
        <w:tc>
          <w:tcPr>
            <w:tcW w:w="993"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22</w:t>
            </w:r>
          </w:p>
        </w:tc>
      </w:tr>
      <w:tr w:rsidR="00420A29" w:rsidRPr="00F24848" w:rsidTr="00170C0C">
        <w:trPr>
          <w:jc w:val="center"/>
        </w:trPr>
        <w:tc>
          <w:tcPr>
            <w:tcW w:w="2405"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Total (N=16)</w:t>
            </w:r>
          </w:p>
        </w:tc>
        <w:tc>
          <w:tcPr>
            <w:tcW w:w="851"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37.06</w:t>
            </w:r>
          </w:p>
        </w:tc>
        <w:tc>
          <w:tcPr>
            <w:tcW w:w="708"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8.27</w:t>
            </w:r>
          </w:p>
        </w:tc>
        <w:tc>
          <w:tcPr>
            <w:tcW w:w="727"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22</w:t>
            </w:r>
          </w:p>
        </w:tc>
        <w:tc>
          <w:tcPr>
            <w:tcW w:w="833"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14.19</w:t>
            </w:r>
          </w:p>
        </w:tc>
        <w:tc>
          <w:tcPr>
            <w:tcW w:w="708"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9.53</w:t>
            </w:r>
          </w:p>
        </w:tc>
        <w:tc>
          <w:tcPr>
            <w:tcW w:w="993" w:type="dxa"/>
            <w:shd w:val="clear" w:color="auto" w:fill="auto"/>
            <w:vAlign w:val="center"/>
          </w:tcPr>
          <w:p w:rsidR="00420A29" w:rsidRPr="00F24848" w:rsidRDefault="00420A29" w:rsidP="00170C0C">
            <w:pPr>
              <w:jc w:val="center"/>
              <w:rPr>
                <w:rFonts w:ascii="Times" w:eastAsia="Calibri" w:hAnsi="Times" w:cs="Times"/>
                <w:sz w:val="18"/>
                <w:szCs w:val="18"/>
              </w:rPr>
            </w:pPr>
            <w:r w:rsidRPr="00F24848">
              <w:rPr>
                <w:rFonts w:ascii="Times" w:eastAsia="Calibri" w:hAnsi="Times" w:cs="Times"/>
                <w:sz w:val="18"/>
                <w:szCs w:val="18"/>
              </w:rPr>
              <w:t>25</w:t>
            </w:r>
          </w:p>
        </w:tc>
      </w:tr>
    </w:tbl>
    <w:p w:rsidR="00420A29" w:rsidRPr="00F24848" w:rsidRDefault="00420A29" w:rsidP="00420A29">
      <w:pPr>
        <w:jc w:val="both"/>
        <w:rPr>
          <w:rFonts w:ascii="Times" w:hAnsi="Times" w:cs="Times"/>
          <w:i/>
          <w:sz w:val="16"/>
          <w:szCs w:val="16"/>
        </w:rPr>
      </w:pPr>
      <w:r w:rsidRPr="00F24848">
        <w:rPr>
          <w:rFonts w:ascii="Times New Roman" w:hAnsi="Times New Roman" w:cs="Times New Roman"/>
          <w:i/>
          <w:sz w:val="16"/>
          <w:szCs w:val="16"/>
          <w:vertAlign w:val="superscript"/>
        </w:rPr>
        <w:t>a</w:t>
      </w:r>
      <w:r w:rsidRPr="00F24848">
        <w:rPr>
          <w:rFonts w:ascii="Times" w:hAnsi="Times" w:cs="Times"/>
          <w:i/>
          <w:sz w:val="16"/>
          <w:szCs w:val="16"/>
        </w:rPr>
        <w:t>Executivelevelincludeprocessengineer, production executive, health, safety and environment (HSE) executive, quality management executive, service executive, parts executive and warehouse assistant manager</w:t>
      </w:r>
    </w:p>
    <w:p w:rsidR="00420A29" w:rsidRPr="00F24848" w:rsidRDefault="00420A29" w:rsidP="00420A29">
      <w:pPr>
        <w:jc w:val="both"/>
        <w:rPr>
          <w:rFonts w:ascii="Times New Roman" w:hAnsi="Times New Roman" w:cs="Times New Roman"/>
          <w:i/>
          <w:sz w:val="16"/>
          <w:szCs w:val="16"/>
        </w:rPr>
      </w:pPr>
      <w:r w:rsidRPr="00F24848">
        <w:rPr>
          <w:rFonts w:ascii="Times" w:hAnsi="Times" w:cs="Times"/>
          <w:i/>
          <w:sz w:val="16"/>
          <w:szCs w:val="16"/>
          <w:vertAlign w:val="superscript"/>
        </w:rPr>
        <w:t>b</w:t>
      </w:r>
      <w:r w:rsidRPr="00F24848">
        <w:rPr>
          <w:rFonts w:ascii="Times" w:hAnsi="Times" w:cs="Times"/>
          <w:i/>
          <w:sz w:val="16"/>
          <w:szCs w:val="16"/>
        </w:rPr>
        <w:t>Non-executivelevelincludemechanic, administration officer, production operator, production officer, production line leader, and health, safety and environmentsupervisor</w:t>
      </w:r>
      <w:r w:rsidRPr="00F24848">
        <w:rPr>
          <w:rFonts w:ascii="Times New Roman" w:hAnsi="Times New Roman" w:cs="Times New Roman"/>
          <w:i/>
          <w:sz w:val="16"/>
          <w:szCs w:val="16"/>
        </w:rPr>
        <w:t>.</w:t>
      </w:r>
    </w:p>
    <w:p w:rsidR="00420A29" w:rsidRPr="00F24848" w:rsidRDefault="00420A29" w:rsidP="00420A29">
      <w:pPr>
        <w:tabs>
          <w:tab w:val="left" w:pos="340"/>
        </w:tabs>
        <w:spacing w:before="340" w:after="170"/>
        <w:jc w:val="both"/>
        <w:rPr>
          <w:rFonts w:ascii="Times" w:hAnsi="Times"/>
          <w:b/>
          <w:sz w:val="20"/>
          <w:lang w:val="en-GB"/>
        </w:rPr>
      </w:pPr>
      <w:r w:rsidRPr="00F24848">
        <w:rPr>
          <w:rFonts w:ascii="Arial" w:hAnsi="Arial" w:cs="Arial"/>
          <w:b/>
          <w:sz w:val="20"/>
          <w:lang w:val="en-GB"/>
        </w:rPr>
        <w:t xml:space="preserve">3.2 Inter–rater reliability </w:t>
      </w:r>
    </w:p>
    <w:p w:rsidR="00CE2F42" w:rsidRPr="00BD29FF" w:rsidRDefault="00420A29" w:rsidP="00CE2F42">
      <w:pPr>
        <w:jc w:val="both"/>
        <w:rPr>
          <w:rFonts w:ascii="Times" w:hAnsi="Times"/>
          <w:sz w:val="20"/>
          <w:lang w:val="en-GB"/>
        </w:rPr>
      </w:pPr>
      <w:r w:rsidRPr="00F24848">
        <w:rPr>
          <w:rFonts w:ascii="Times" w:hAnsi="Times"/>
          <w:sz w:val="20"/>
          <w:lang w:val="en-GB"/>
        </w:rPr>
        <w:t>The results of</w:t>
      </w:r>
      <w:r w:rsidR="00D62DE0" w:rsidRPr="00F24848">
        <w:rPr>
          <w:rFonts w:ascii="Times" w:hAnsi="Times"/>
          <w:sz w:val="20"/>
          <w:lang w:val="en-GB"/>
        </w:rPr>
        <w:t xml:space="preserve"> inter-rater reliability test</w:t>
      </w:r>
      <w:r w:rsidRPr="00F24848">
        <w:rPr>
          <w:rFonts w:ascii="Times" w:hAnsi="Times"/>
          <w:sz w:val="20"/>
          <w:lang w:val="en-GB"/>
        </w:rPr>
        <w:t xml:space="preserve"> for Task A until C are shown in Table </w:t>
      </w:r>
      <w:r w:rsidR="00166172" w:rsidRPr="00F24848">
        <w:rPr>
          <w:rFonts w:ascii="Times" w:hAnsi="Times"/>
          <w:sz w:val="20"/>
          <w:lang w:val="en-GB"/>
        </w:rPr>
        <w:t>2. F</w:t>
      </w:r>
      <w:r w:rsidR="00D62DE0" w:rsidRPr="00F24848">
        <w:rPr>
          <w:rFonts w:ascii="Times" w:hAnsi="Times"/>
          <w:sz w:val="20"/>
          <w:lang w:val="en-GB"/>
        </w:rPr>
        <w:t>or Task A, the range</w:t>
      </w:r>
      <w:r w:rsidRPr="00F24848">
        <w:rPr>
          <w:rFonts w:ascii="Times" w:hAnsi="Times"/>
          <w:sz w:val="20"/>
          <w:lang w:val="en-GB"/>
        </w:rPr>
        <w:t xml:space="preserve"> of Cohen’s Kappa coefficient </w:t>
      </w:r>
      <w:r w:rsidR="00D62DE0" w:rsidRPr="00F24848">
        <w:rPr>
          <w:rFonts w:ascii="Times" w:hAnsi="Times"/>
          <w:sz w:val="20"/>
          <w:lang w:val="en-GB"/>
        </w:rPr>
        <w:t>for all ENBORA items was</w:t>
      </w:r>
      <w:r w:rsidR="00547B19" w:rsidRPr="00F24848">
        <w:rPr>
          <w:rFonts w:ascii="Times" w:hAnsi="Times"/>
          <w:sz w:val="20"/>
          <w:lang w:val="en-GB"/>
        </w:rPr>
        <w:t xml:space="preserve"> 0.55-</w:t>
      </w:r>
      <w:r w:rsidRPr="00F24848">
        <w:rPr>
          <w:rFonts w:ascii="Times" w:hAnsi="Times"/>
          <w:sz w:val="20"/>
          <w:lang w:val="en-GB"/>
        </w:rPr>
        <w:t>0.93 and the r</w:t>
      </w:r>
      <w:r w:rsidR="00D62DE0" w:rsidRPr="00F24848">
        <w:rPr>
          <w:rFonts w:ascii="Times" w:hAnsi="Times"/>
          <w:sz w:val="20"/>
          <w:lang w:val="en-GB"/>
        </w:rPr>
        <w:t>ange of the percentage of a</w:t>
      </w:r>
      <w:r w:rsidRPr="00F24848">
        <w:rPr>
          <w:rFonts w:ascii="Times" w:hAnsi="Times"/>
          <w:sz w:val="20"/>
          <w:lang w:val="en-GB"/>
        </w:rPr>
        <w:t>greementw</w:t>
      </w:r>
      <w:r w:rsidR="00D62DE0" w:rsidRPr="00F24848">
        <w:rPr>
          <w:rFonts w:ascii="Times" w:hAnsi="Times"/>
          <w:sz w:val="20"/>
          <w:lang w:val="en-GB"/>
        </w:rPr>
        <w:t>as</w:t>
      </w:r>
      <w:r w:rsidRPr="00F24848">
        <w:rPr>
          <w:rFonts w:ascii="Times" w:hAnsi="Times"/>
          <w:sz w:val="20"/>
          <w:lang w:val="en-GB"/>
        </w:rPr>
        <w:t xml:space="preserve"> 68.8-93.8%. The total agreement of Cohen’s Kappa coefficient for Task A was 0.88, which indicated that very good agreement existed among observers who assessed Task A using the ENBORA method</w:t>
      </w:r>
      <w:r w:rsidR="00D62DE0" w:rsidRPr="00F24848">
        <w:rPr>
          <w:rFonts w:ascii="Times" w:hAnsi="Times"/>
          <w:sz w:val="20"/>
          <w:lang w:val="en-GB"/>
        </w:rPr>
        <w:t>. T</w:t>
      </w:r>
      <w:r w:rsidRPr="00F24848">
        <w:rPr>
          <w:rFonts w:ascii="Times" w:hAnsi="Times"/>
          <w:sz w:val="20"/>
          <w:lang w:val="en-GB"/>
        </w:rPr>
        <w:t xml:space="preserve">he total of percentage </w:t>
      </w:r>
      <w:r w:rsidR="00D62DE0" w:rsidRPr="00F24848">
        <w:rPr>
          <w:rFonts w:ascii="Times" w:hAnsi="Times"/>
          <w:sz w:val="20"/>
          <w:lang w:val="en-GB"/>
        </w:rPr>
        <w:t>of agreement was</w:t>
      </w:r>
      <w:r w:rsidRPr="00F24848">
        <w:rPr>
          <w:rFonts w:ascii="Times" w:hAnsi="Times"/>
          <w:sz w:val="20"/>
          <w:lang w:val="en-GB"/>
        </w:rPr>
        <w:t xml:space="preserve"> 90%. Fu</w:t>
      </w:r>
      <w:r w:rsidR="00D62DE0" w:rsidRPr="00F24848">
        <w:rPr>
          <w:rFonts w:ascii="Times" w:hAnsi="Times"/>
          <w:sz w:val="20"/>
          <w:lang w:val="en-GB"/>
        </w:rPr>
        <w:t>rthermore, for Task B the range</w:t>
      </w:r>
      <w:r w:rsidRPr="00F24848">
        <w:rPr>
          <w:rFonts w:ascii="Times" w:hAnsi="Times"/>
          <w:sz w:val="20"/>
          <w:lang w:val="en-GB"/>
        </w:rPr>
        <w:t xml:space="preserve"> of Cohen’s Kappa coefficient </w:t>
      </w:r>
      <w:r w:rsidR="00D62DE0" w:rsidRPr="00F24848">
        <w:rPr>
          <w:rFonts w:ascii="Times" w:hAnsi="Times"/>
          <w:sz w:val="20"/>
          <w:lang w:val="en-GB"/>
        </w:rPr>
        <w:t>for all ENBORA items was</w:t>
      </w:r>
      <w:r w:rsidR="0004497B" w:rsidRPr="00F24848">
        <w:rPr>
          <w:rFonts w:ascii="Times" w:hAnsi="Times"/>
          <w:sz w:val="20"/>
          <w:lang w:val="en-GB"/>
        </w:rPr>
        <w:t xml:space="preserve"> 0.55-</w:t>
      </w:r>
      <w:r w:rsidR="00D62DE0" w:rsidRPr="00F24848">
        <w:rPr>
          <w:rFonts w:ascii="Times" w:hAnsi="Times"/>
          <w:sz w:val="20"/>
          <w:lang w:val="en-GB"/>
        </w:rPr>
        <w:t>0.93 and the range</w:t>
      </w:r>
      <w:r w:rsidRPr="00F24848">
        <w:rPr>
          <w:rFonts w:ascii="Times" w:hAnsi="Times"/>
          <w:sz w:val="20"/>
          <w:lang w:val="en-GB"/>
        </w:rPr>
        <w:t xml:space="preserve"> of the percentage </w:t>
      </w:r>
      <w:r w:rsidR="00D62DE0" w:rsidRPr="00F24848">
        <w:rPr>
          <w:rFonts w:ascii="Times" w:hAnsi="Times"/>
          <w:sz w:val="20"/>
          <w:lang w:val="en-GB"/>
        </w:rPr>
        <w:t xml:space="preserve">of </w:t>
      </w:r>
      <w:r w:rsidRPr="00F24848">
        <w:rPr>
          <w:rFonts w:ascii="Times" w:hAnsi="Times"/>
          <w:sz w:val="20"/>
          <w:lang w:val="en-GB"/>
        </w:rPr>
        <w:t xml:space="preserve">agreement </w:t>
      </w:r>
      <w:r w:rsidR="00D62DE0" w:rsidRPr="00F24848">
        <w:rPr>
          <w:rFonts w:ascii="Times" w:hAnsi="Times"/>
          <w:sz w:val="20"/>
          <w:lang w:val="en-GB"/>
        </w:rPr>
        <w:t>was</w:t>
      </w:r>
      <w:r w:rsidRPr="00F24848">
        <w:rPr>
          <w:rFonts w:ascii="Times" w:hAnsi="Times"/>
          <w:sz w:val="20"/>
          <w:lang w:val="en-GB"/>
        </w:rPr>
        <w:t xml:space="preserve"> 68.8-93.8%. The total agreement of Cohen’s Kappa coefficient for Task B was 0.91, which indicated that very good agreement existed among observers who assessed Task B using the</w:t>
      </w:r>
      <w:r w:rsidR="00D62DE0" w:rsidRPr="00F24848">
        <w:rPr>
          <w:rFonts w:ascii="Times" w:hAnsi="Times"/>
          <w:sz w:val="20"/>
          <w:lang w:val="en-GB"/>
        </w:rPr>
        <w:t xml:space="preserve"> ENBORA method and the total </w:t>
      </w:r>
      <w:r w:rsidRPr="00F24848">
        <w:rPr>
          <w:rFonts w:ascii="Times" w:hAnsi="Times"/>
          <w:sz w:val="20"/>
          <w:lang w:val="en-GB"/>
        </w:rPr>
        <w:t xml:space="preserve">percentage </w:t>
      </w:r>
      <w:r w:rsidR="00D62DE0" w:rsidRPr="00F24848">
        <w:rPr>
          <w:rFonts w:ascii="Times" w:hAnsi="Times"/>
          <w:sz w:val="20"/>
          <w:lang w:val="en-GB"/>
        </w:rPr>
        <w:t xml:space="preserve">of </w:t>
      </w:r>
      <w:r w:rsidRPr="00F24848">
        <w:rPr>
          <w:rFonts w:ascii="Times" w:hAnsi="Times"/>
          <w:sz w:val="20"/>
          <w:lang w:val="en-GB"/>
        </w:rPr>
        <w:t xml:space="preserve">agreement </w:t>
      </w:r>
      <w:r w:rsidR="00D62DE0" w:rsidRPr="00F24848">
        <w:rPr>
          <w:rFonts w:ascii="Times" w:hAnsi="Times"/>
          <w:sz w:val="20"/>
          <w:lang w:val="en-GB"/>
        </w:rPr>
        <w:t>was 92.3%. Additionally, the range</w:t>
      </w:r>
      <w:r w:rsidRPr="00F24848">
        <w:rPr>
          <w:rFonts w:ascii="Times" w:hAnsi="Times"/>
          <w:sz w:val="20"/>
          <w:lang w:val="en-GB"/>
        </w:rPr>
        <w:t xml:space="preserve"> of Cohen’s Kappa coefficient for all ENBORA items for Task C </w:t>
      </w:r>
      <w:r w:rsidR="00D62DE0" w:rsidRPr="00F24848">
        <w:rPr>
          <w:rFonts w:ascii="Times" w:hAnsi="Times"/>
          <w:sz w:val="20"/>
          <w:lang w:val="en-GB"/>
        </w:rPr>
        <w:t>was</w:t>
      </w:r>
      <w:r w:rsidRPr="00F24848">
        <w:rPr>
          <w:rFonts w:ascii="Times" w:hAnsi="Times"/>
          <w:sz w:val="20"/>
          <w:lang w:val="en-GB"/>
        </w:rPr>
        <w:t xml:space="preserve"> 0.77-0.93 a</w:t>
      </w:r>
      <w:r w:rsidR="00D62DE0" w:rsidRPr="00F24848">
        <w:rPr>
          <w:rFonts w:ascii="Times" w:hAnsi="Times"/>
          <w:sz w:val="20"/>
          <w:lang w:val="en-GB"/>
        </w:rPr>
        <w:t>nd the range</w:t>
      </w:r>
      <w:r w:rsidRPr="00F24848">
        <w:rPr>
          <w:rFonts w:ascii="Times" w:hAnsi="Times"/>
          <w:sz w:val="20"/>
          <w:lang w:val="en-GB"/>
        </w:rPr>
        <w:t xml:space="preserve"> of the percentage</w:t>
      </w:r>
      <w:r w:rsidR="00D62DE0" w:rsidRPr="00F24848">
        <w:rPr>
          <w:rFonts w:ascii="Times" w:hAnsi="Times"/>
          <w:sz w:val="20"/>
          <w:lang w:val="en-GB"/>
        </w:rPr>
        <w:t xml:space="preserve"> of agreement was</w:t>
      </w:r>
      <w:r w:rsidRPr="00F24848">
        <w:rPr>
          <w:rFonts w:ascii="Times" w:hAnsi="Times"/>
          <w:sz w:val="20"/>
          <w:lang w:val="en-GB"/>
        </w:rPr>
        <w:t xml:space="preserve"> 81.3-93.8%. The total agreement of Cohen’s Kappa coefficient for Task C was 0.91, which indicated that very good agreement existed among observers who assessed Task C using the ENBORA method and the total of percentage </w:t>
      </w:r>
      <w:r w:rsidR="00D62DE0" w:rsidRPr="00F24848">
        <w:rPr>
          <w:rFonts w:ascii="Times" w:hAnsi="Times"/>
          <w:sz w:val="20"/>
          <w:lang w:val="en-GB"/>
        </w:rPr>
        <w:t xml:space="preserve">of </w:t>
      </w:r>
      <w:r w:rsidR="00C21D70" w:rsidRPr="00F24848">
        <w:rPr>
          <w:rFonts w:ascii="Times" w:hAnsi="Times"/>
          <w:sz w:val="20"/>
          <w:lang w:val="en-GB"/>
        </w:rPr>
        <w:t xml:space="preserve">agreement was </w:t>
      </w:r>
      <w:r w:rsidRPr="00F24848">
        <w:rPr>
          <w:rFonts w:ascii="Times" w:hAnsi="Times"/>
          <w:sz w:val="20"/>
          <w:lang w:val="en-GB"/>
        </w:rPr>
        <w:t>91.8%.</w:t>
      </w:r>
    </w:p>
    <w:p w:rsidR="00420A29" w:rsidRPr="00BD29FF" w:rsidRDefault="00420A29" w:rsidP="00CE2F42">
      <w:pPr>
        <w:jc w:val="both"/>
        <w:rPr>
          <w:rFonts w:ascii="Times" w:hAnsi="Times"/>
          <w:sz w:val="20"/>
          <w:lang w:val="en-GB"/>
        </w:rPr>
      </w:pPr>
    </w:p>
    <w:p w:rsidR="00420A29" w:rsidRPr="00BD29FF" w:rsidRDefault="00420A29" w:rsidP="00CE2F42">
      <w:pPr>
        <w:jc w:val="both"/>
        <w:rPr>
          <w:rFonts w:ascii="Times" w:hAnsi="Times"/>
          <w:sz w:val="20"/>
          <w:lang w:val="en-GB"/>
        </w:rPr>
      </w:pPr>
    </w:p>
    <w:p w:rsidR="00420A29" w:rsidRPr="00BD29FF" w:rsidRDefault="00420A29" w:rsidP="00CE2F42">
      <w:pPr>
        <w:jc w:val="both"/>
        <w:rPr>
          <w:rFonts w:ascii="Times" w:hAnsi="Times"/>
          <w:sz w:val="20"/>
          <w:lang w:val="en-GB"/>
        </w:rPr>
      </w:pPr>
    </w:p>
    <w:p w:rsidR="00420A29" w:rsidRPr="00BD29FF" w:rsidRDefault="00420A29" w:rsidP="00CE2F42">
      <w:pPr>
        <w:jc w:val="both"/>
        <w:rPr>
          <w:rFonts w:ascii="Times" w:hAnsi="Times"/>
          <w:sz w:val="20"/>
          <w:lang w:val="en-GB"/>
        </w:rPr>
      </w:pPr>
    </w:p>
    <w:p w:rsidR="00420A29" w:rsidRPr="00BD29FF" w:rsidRDefault="00420A29" w:rsidP="00CE2F42">
      <w:pPr>
        <w:jc w:val="both"/>
        <w:rPr>
          <w:rFonts w:ascii="Times" w:hAnsi="Times"/>
          <w:sz w:val="20"/>
          <w:lang w:val="en-GB"/>
        </w:rPr>
      </w:pPr>
    </w:p>
    <w:p w:rsidR="00420A29" w:rsidRPr="00BD29FF" w:rsidRDefault="00420A29" w:rsidP="00CE2F42">
      <w:pPr>
        <w:jc w:val="both"/>
        <w:rPr>
          <w:rFonts w:ascii="Times" w:hAnsi="Times"/>
          <w:sz w:val="20"/>
          <w:lang w:val="en-GB"/>
        </w:rPr>
      </w:pPr>
    </w:p>
    <w:p w:rsidR="00420A29" w:rsidRPr="00BD29FF" w:rsidRDefault="00420A29" w:rsidP="00CE2F42">
      <w:pPr>
        <w:jc w:val="both"/>
        <w:rPr>
          <w:rFonts w:ascii="Times" w:hAnsi="Times"/>
          <w:sz w:val="20"/>
          <w:lang w:val="en-GB"/>
        </w:rPr>
      </w:pPr>
    </w:p>
    <w:p w:rsidR="00420A29" w:rsidRPr="00BD29FF" w:rsidRDefault="00420A29" w:rsidP="00CE2F42">
      <w:pPr>
        <w:jc w:val="both"/>
        <w:rPr>
          <w:rFonts w:ascii="Times" w:hAnsi="Times"/>
          <w:sz w:val="20"/>
          <w:lang w:val="en-GB"/>
        </w:rPr>
      </w:pPr>
    </w:p>
    <w:p w:rsidR="0004497B" w:rsidRPr="00BD29FF" w:rsidRDefault="0004497B" w:rsidP="00CE2F42">
      <w:pPr>
        <w:jc w:val="both"/>
        <w:rPr>
          <w:rFonts w:ascii="Times" w:hAnsi="Times"/>
          <w:sz w:val="20"/>
          <w:lang w:val="en-GB"/>
        </w:rPr>
      </w:pPr>
    </w:p>
    <w:p w:rsidR="00F41821" w:rsidRPr="00BD29FF" w:rsidRDefault="00F41821" w:rsidP="00CE2F42">
      <w:pPr>
        <w:jc w:val="both"/>
        <w:rPr>
          <w:rFonts w:ascii="Times" w:hAnsi="Times"/>
          <w:sz w:val="20"/>
          <w:lang w:val="en-GB"/>
        </w:rPr>
      </w:pPr>
    </w:p>
    <w:p w:rsidR="00F41821" w:rsidRPr="00BD29FF" w:rsidRDefault="00F41821" w:rsidP="00CE2F42">
      <w:pPr>
        <w:jc w:val="both"/>
        <w:rPr>
          <w:rFonts w:ascii="Times" w:hAnsi="Times"/>
          <w:sz w:val="20"/>
          <w:lang w:val="en-GB"/>
        </w:rPr>
      </w:pPr>
    </w:p>
    <w:p w:rsidR="00F41821" w:rsidRPr="00BD29FF" w:rsidRDefault="00F41821" w:rsidP="00CE2F42">
      <w:pPr>
        <w:jc w:val="both"/>
        <w:rPr>
          <w:rFonts w:ascii="Times" w:hAnsi="Times"/>
          <w:sz w:val="20"/>
          <w:lang w:val="en-GB"/>
        </w:rPr>
      </w:pPr>
    </w:p>
    <w:p w:rsidR="00F41821" w:rsidRPr="00BD29FF" w:rsidRDefault="00F41821" w:rsidP="00CE2F42">
      <w:pPr>
        <w:jc w:val="both"/>
        <w:rPr>
          <w:rFonts w:ascii="Times" w:hAnsi="Times"/>
          <w:sz w:val="20"/>
          <w:lang w:val="en-GB"/>
        </w:rPr>
      </w:pPr>
    </w:p>
    <w:p w:rsidR="00F41821" w:rsidRPr="00BD29FF" w:rsidRDefault="00F41821" w:rsidP="00CE2F42">
      <w:pPr>
        <w:jc w:val="both"/>
        <w:rPr>
          <w:rFonts w:ascii="Times" w:hAnsi="Times"/>
          <w:sz w:val="20"/>
          <w:lang w:val="en-GB"/>
        </w:rPr>
      </w:pPr>
    </w:p>
    <w:p w:rsidR="00420A29" w:rsidRPr="00F24848" w:rsidRDefault="00420A29" w:rsidP="00420A29">
      <w:pPr>
        <w:spacing w:before="120" w:after="120"/>
        <w:jc w:val="center"/>
        <w:rPr>
          <w:rFonts w:ascii="Times" w:hAnsi="Times"/>
          <w:iCs/>
          <w:sz w:val="18"/>
          <w:szCs w:val="16"/>
          <w:lang w:val="en-GB"/>
        </w:rPr>
      </w:pPr>
      <w:r w:rsidRPr="00F24848">
        <w:rPr>
          <w:rFonts w:ascii="Times" w:hAnsi="Times"/>
          <w:b/>
          <w:bCs/>
          <w:iCs/>
          <w:sz w:val="18"/>
          <w:szCs w:val="16"/>
          <w:lang w:val="en-GB"/>
        </w:rPr>
        <w:lastRenderedPageBreak/>
        <w:t>Table 2.</w:t>
      </w:r>
      <w:r w:rsidRPr="00F24848">
        <w:rPr>
          <w:rFonts w:ascii="Times" w:hAnsi="Times"/>
          <w:iCs/>
          <w:sz w:val="18"/>
          <w:szCs w:val="16"/>
          <w:lang w:val="en-GB"/>
        </w:rPr>
        <w:t xml:space="preserve"> Result of inter-rater reliability analysis</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9"/>
        <w:gridCol w:w="1627"/>
        <w:gridCol w:w="550"/>
        <w:gridCol w:w="614"/>
        <w:gridCol w:w="600"/>
        <w:gridCol w:w="578"/>
        <w:gridCol w:w="551"/>
        <w:gridCol w:w="551"/>
      </w:tblGrid>
      <w:tr w:rsidR="00420A29" w:rsidRPr="00F24848" w:rsidTr="00170C0C">
        <w:trPr>
          <w:jc w:val="center"/>
        </w:trPr>
        <w:tc>
          <w:tcPr>
            <w:tcW w:w="1696" w:type="dxa"/>
            <w:vMerge w:val="restart"/>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ENBORA Items</w:t>
            </w:r>
          </w:p>
        </w:tc>
        <w:tc>
          <w:tcPr>
            <w:tcW w:w="1874" w:type="dxa"/>
            <w:vMerge w:val="restart"/>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Sub-item</w:t>
            </w:r>
          </w:p>
        </w:tc>
        <w:tc>
          <w:tcPr>
            <w:tcW w:w="3660" w:type="dxa"/>
            <w:gridSpan w:val="6"/>
            <w:shd w:val="clear" w:color="auto" w:fill="auto"/>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Inter-rater Agreement (16 Observers)</w:t>
            </w:r>
          </w:p>
        </w:tc>
      </w:tr>
      <w:tr w:rsidR="00420A29" w:rsidRPr="00F24848" w:rsidTr="00170C0C">
        <w:trPr>
          <w:jc w:val="center"/>
        </w:trPr>
        <w:tc>
          <w:tcPr>
            <w:tcW w:w="1696" w:type="dxa"/>
            <w:vMerge/>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p>
        </w:tc>
        <w:tc>
          <w:tcPr>
            <w:tcW w:w="1874" w:type="dxa"/>
            <w:vMerge/>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p>
        </w:tc>
        <w:tc>
          <w:tcPr>
            <w:tcW w:w="1250" w:type="dxa"/>
            <w:gridSpan w:val="2"/>
            <w:shd w:val="clear" w:color="auto" w:fill="auto"/>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Task A</w:t>
            </w:r>
          </w:p>
        </w:tc>
        <w:tc>
          <w:tcPr>
            <w:tcW w:w="1276" w:type="dxa"/>
            <w:gridSpan w:val="2"/>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Task B</w:t>
            </w:r>
          </w:p>
        </w:tc>
        <w:tc>
          <w:tcPr>
            <w:tcW w:w="1134" w:type="dxa"/>
            <w:gridSpan w:val="2"/>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Task c</w:t>
            </w:r>
          </w:p>
        </w:tc>
      </w:tr>
      <w:tr w:rsidR="00420A29" w:rsidRPr="00F24848" w:rsidTr="00170C0C">
        <w:trPr>
          <w:jc w:val="center"/>
        </w:trPr>
        <w:tc>
          <w:tcPr>
            <w:tcW w:w="1696" w:type="dxa"/>
            <w:vMerge/>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p>
        </w:tc>
        <w:tc>
          <w:tcPr>
            <w:tcW w:w="1874" w:type="dxa"/>
            <w:vMerge/>
            <w:shd w:val="clear" w:color="auto" w:fill="auto"/>
          </w:tcPr>
          <w:p w:rsidR="00420A29" w:rsidRPr="00F24848" w:rsidRDefault="00420A29" w:rsidP="00170C0C">
            <w:pPr>
              <w:jc w:val="center"/>
              <w:rPr>
                <w:rFonts w:ascii="Times New Roman" w:eastAsia="Calibri" w:hAnsi="Times New Roman" w:cs="Times New Roman"/>
                <w:i/>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i/>
                <w:sz w:val="18"/>
                <w:szCs w:val="18"/>
              </w:rPr>
              <w:t>K</w:t>
            </w:r>
            <w:r w:rsidRPr="00F24848">
              <w:rPr>
                <w:rFonts w:ascii="Times New Roman" w:eastAsia="Calibri" w:hAnsi="Times New Roman" w:cs="Times New Roman"/>
                <w:sz w:val="18"/>
                <w:szCs w:val="18"/>
              </w:rPr>
              <w:t>*</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 xml:space="preserve">% </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i/>
                <w:sz w:val="18"/>
                <w:szCs w:val="18"/>
              </w:rPr>
              <w:t>K</w:t>
            </w:r>
            <w:r w:rsidRPr="00F24848">
              <w:rPr>
                <w:rFonts w:ascii="Times New Roman" w:eastAsia="Calibri" w:hAnsi="Times New Roman" w:cs="Times New Roman"/>
                <w:sz w:val="18"/>
                <w:szCs w:val="18"/>
              </w:rPr>
              <w:t>*</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 xml:space="preserve">% </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i/>
                <w:sz w:val="18"/>
                <w:szCs w:val="18"/>
              </w:rPr>
              <w:t>K</w:t>
            </w:r>
            <w:r w:rsidRPr="00F24848">
              <w:rPr>
                <w:rFonts w:ascii="Times New Roman" w:eastAsia="Calibri" w:hAnsi="Times New Roman" w:cs="Times New Roman"/>
                <w:sz w:val="18"/>
                <w:szCs w:val="18"/>
              </w:rPr>
              <w:t>*</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 xml:space="preserve">% </w:t>
            </w:r>
          </w:p>
        </w:tc>
      </w:tr>
      <w:tr w:rsidR="00420A29" w:rsidRPr="00F24848" w:rsidTr="00170C0C">
        <w:trPr>
          <w:jc w:val="center"/>
        </w:trPr>
        <w:tc>
          <w:tcPr>
            <w:tcW w:w="1696" w:type="dxa"/>
            <w:vMerge w:val="restart"/>
            <w:shd w:val="clear" w:color="auto" w:fill="auto"/>
          </w:tcPr>
          <w:p w:rsidR="00420A29" w:rsidRPr="00F24848" w:rsidRDefault="00420A29" w:rsidP="00170C0C">
            <w:pPr>
              <w:pStyle w:val="ListParagraph"/>
              <w:numPr>
                <w:ilvl w:val="0"/>
                <w:numId w:val="3"/>
              </w:numPr>
              <w:suppressAutoHyphens w:val="0"/>
              <w:ind w:left="313" w:hanging="284"/>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Neck posture</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A1. Flexion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A2. Extension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A3. LateralBending</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A4. Rotation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val="restart"/>
            <w:shd w:val="clear" w:color="auto" w:fill="auto"/>
          </w:tcPr>
          <w:p w:rsidR="00420A29" w:rsidRPr="00F24848" w:rsidRDefault="00420A29" w:rsidP="00170C0C">
            <w:pPr>
              <w:pStyle w:val="ListParagraph"/>
              <w:numPr>
                <w:ilvl w:val="0"/>
                <w:numId w:val="3"/>
              </w:numPr>
              <w:suppressAutoHyphens w:val="0"/>
              <w:ind w:left="313" w:hanging="284"/>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Shoulders posture</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B1. Flexion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B2. Extension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B3. Abduction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B4. Adduction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B5. Medial Rotation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B6. Lateral Rotation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r>
      <w:tr w:rsidR="00420A29" w:rsidRPr="00F24848" w:rsidTr="00170C0C">
        <w:trPr>
          <w:jc w:val="center"/>
        </w:trPr>
        <w:tc>
          <w:tcPr>
            <w:tcW w:w="1696" w:type="dxa"/>
            <w:vMerge w:val="restart"/>
            <w:shd w:val="clear" w:color="auto" w:fill="auto"/>
          </w:tcPr>
          <w:p w:rsidR="00420A29" w:rsidRPr="00F24848" w:rsidRDefault="00420A29" w:rsidP="00170C0C">
            <w:pPr>
              <w:pStyle w:val="ListParagraph"/>
              <w:numPr>
                <w:ilvl w:val="0"/>
                <w:numId w:val="3"/>
              </w:numPr>
              <w:suppressAutoHyphens w:val="0"/>
              <w:ind w:left="313" w:hanging="284"/>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Elbows posture</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C1. Flexion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C2. Pronation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C3. Supination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val="restart"/>
            <w:shd w:val="clear" w:color="auto" w:fill="auto"/>
          </w:tcPr>
          <w:p w:rsidR="00420A29" w:rsidRPr="00F24848" w:rsidRDefault="00420A29" w:rsidP="00170C0C">
            <w:pPr>
              <w:pStyle w:val="ListParagraph"/>
              <w:numPr>
                <w:ilvl w:val="0"/>
                <w:numId w:val="3"/>
              </w:numPr>
              <w:suppressAutoHyphens w:val="0"/>
              <w:ind w:left="313" w:hanging="284"/>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Hands/wrists posture</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D1. Flexion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D2. Extension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trHeight w:val="70"/>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D3. Radial Deviation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0.77</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81.3</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D4. UlnarDeviation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0.77</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81.3</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r>
      <w:tr w:rsidR="00420A29" w:rsidRPr="00F24848" w:rsidTr="00170C0C">
        <w:trPr>
          <w:jc w:val="center"/>
        </w:trPr>
        <w:tc>
          <w:tcPr>
            <w:tcW w:w="1696" w:type="dxa"/>
            <w:vMerge w:val="restart"/>
            <w:shd w:val="clear" w:color="auto" w:fill="auto"/>
          </w:tcPr>
          <w:p w:rsidR="00420A29" w:rsidRPr="00F24848" w:rsidRDefault="00420A29" w:rsidP="00170C0C">
            <w:pPr>
              <w:pStyle w:val="ListParagraph"/>
              <w:numPr>
                <w:ilvl w:val="0"/>
                <w:numId w:val="3"/>
              </w:numPr>
              <w:suppressAutoHyphens w:val="0"/>
              <w:ind w:left="313" w:hanging="284"/>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 xml:space="preserve">Back posture </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E1. Flexion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E2. Extension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E3. LateralBending</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shd w:val="clear" w:color="auto" w:fill="auto"/>
          </w:tcPr>
          <w:p w:rsidR="00420A29" w:rsidRPr="00F24848" w:rsidRDefault="00420A29" w:rsidP="00170C0C">
            <w:pPr>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E4. Rotation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Legs flexion</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Shouldersrepetition</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0.77</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81.3</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Elbowsrepetition</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Hands/wristsrepetition</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Back repetition</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val="restart"/>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Forcefulexertion</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K1. Force</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0.77</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81.3</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shd w:val="clear" w:color="auto" w:fill="auto"/>
          </w:tcPr>
          <w:p w:rsidR="00420A29" w:rsidRPr="00F24848" w:rsidRDefault="00420A29" w:rsidP="00170C0C">
            <w:pPr>
              <w:ind w:left="313" w:hanging="313"/>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K2. Repetition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 xml:space="preserve">Contact stress </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0.77</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81.3</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0.77</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81.3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0.77</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81.3</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 xml:space="preserve">Vibration </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 xml:space="preserve">Task duration </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Work stress</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Workload</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val="restart"/>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 xml:space="preserve">Work pace </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Q1. Dynamic Motion</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vMerge/>
            <w:shd w:val="clear" w:color="auto" w:fill="auto"/>
          </w:tcPr>
          <w:p w:rsidR="00420A29" w:rsidRPr="00F24848" w:rsidRDefault="00420A29" w:rsidP="00170C0C">
            <w:pPr>
              <w:pStyle w:val="ListParagraph"/>
              <w:ind w:left="313"/>
              <w:rPr>
                <w:rFonts w:ascii="Times New Roman" w:eastAsia="Calibri" w:hAnsi="Times New Roman" w:cs="Times New Roman"/>
                <w:sz w:val="18"/>
                <w:szCs w:val="18"/>
              </w:rPr>
            </w:pP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r w:rsidRPr="00F24848">
              <w:rPr>
                <w:rFonts w:ascii="Times New Roman" w:eastAsia="Calibri" w:hAnsi="Times New Roman" w:cs="Times New Roman"/>
                <w:sz w:val="18"/>
                <w:szCs w:val="18"/>
              </w:rPr>
              <w:t xml:space="preserve">Q2.Static Posture </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Technology changes</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Social environment</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Monotonytask</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Workschedule</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trHeight w:val="70"/>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BMI</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0.55</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68.8</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1696" w:type="dxa"/>
            <w:shd w:val="clear" w:color="auto" w:fill="auto"/>
          </w:tcPr>
          <w:p w:rsidR="00420A29" w:rsidRPr="00F24848" w:rsidRDefault="00420A29" w:rsidP="00170C0C">
            <w:pPr>
              <w:pStyle w:val="ListParagraph"/>
              <w:numPr>
                <w:ilvl w:val="0"/>
                <w:numId w:val="3"/>
              </w:numPr>
              <w:suppressAutoHyphens w:val="0"/>
              <w:ind w:left="313" w:hanging="313"/>
              <w:contextualSpacing/>
              <w:rPr>
                <w:rFonts w:ascii="Times New Roman" w:eastAsia="Calibri" w:hAnsi="Times New Roman" w:cs="Times New Roman"/>
                <w:sz w:val="18"/>
                <w:szCs w:val="18"/>
              </w:rPr>
            </w:pPr>
            <w:r w:rsidRPr="00F24848">
              <w:rPr>
                <w:rFonts w:ascii="Times New Roman" w:eastAsia="Calibri" w:hAnsi="Times New Roman" w:cs="Times New Roman"/>
                <w:sz w:val="18"/>
                <w:szCs w:val="18"/>
              </w:rPr>
              <w:t xml:space="preserve">Smoking </w:t>
            </w:r>
          </w:p>
        </w:tc>
        <w:tc>
          <w:tcPr>
            <w:tcW w:w="1874" w:type="dxa"/>
            <w:shd w:val="clear" w:color="auto" w:fill="auto"/>
            <w:vAlign w:val="center"/>
          </w:tcPr>
          <w:p w:rsidR="00420A29" w:rsidRPr="00F24848" w:rsidRDefault="00420A29" w:rsidP="00170C0C">
            <w:pPr>
              <w:rPr>
                <w:rFonts w:ascii="Times New Roman" w:eastAsia="Calibri" w:hAnsi="Times New Roman" w:cs="Times New Roman"/>
                <w:sz w:val="18"/>
                <w:szCs w:val="18"/>
              </w:rPr>
            </w:pP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0.86</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87.5</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93.8</w:t>
            </w:r>
          </w:p>
        </w:tc>
      </w:tr>
      <w:tr w:rsidR="00420A29" w:rsidRPr="00F24848" w:rsidTr="00170C0C">
        <w:trPr>
          <w:jc w:val="center"/>
        </w:trPr>
        <w:tc>
          <w:tcPr>
            <w:tcW w:w="3570" w:type="dxa"/>
            <w:gridSpan w:val="2"/>
            <w:shd w:val="clear" w:color="auto" w:fill="auto"/>
            <w:vAlign w:val="center"/>
          </w:tcPr>
          <w:p w:rsidR="00420A29" w:rsidRPr="00F24848" w:rsidRDefault="00420A29" w:rsidP="00170C0C">
            <w:pPr>
              <w:jc w:val="right"/>
              <w:rPr>
                <w:rFonts w:ascii="Times New Roman" w:eastAsia="Calibri" w:hAnsi="Times New Roman" w:cs="Times New Roman"/>
                <w:b/>
                <w:sz w:val="18"/>
                <w:szCs w:val="18"/>
              </w:rPr>
            </w:pPr>
            <w:r w:rsidRPr="00F24848">
              <w:rPr>
                <w:rFonts w:ascii="Times New Roman" w:eastAsia="Calibri" w:hAnsi="Times New Roman" w:cs="Times New Roman"/>
                <w:b/>
                <w:sz w:val="18"/>
                <w:szCs w:val="18"/>
              </w:rPr>
              <w:t xml:space="preserve">Total agreement </w:t>
            </w:r>
          </w:p>
        </w:tc>
        <w:tc>
          <w:tcPr>
            <w:tcW w:w="566"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0.88</w:t>
            </w:r>
          </w:p>
        </w:tc>
        <w:tc>
          <w:tcPr>
            <w:tcW w:w="684"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90.0</w:t>
            </w:r>
          </w:p>
        </w:tc>
        <w:tc>
          <w:tcPr>
            <w:tcW w:w="659"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0.91</w:t>
            </w:r>
          </w:p>
        </w:tc>
        <w:tc>
          <w:tcPr>
            <w:tcW w:w="61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92.3</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0.91</w:t>
            </w:r>
          </w:p>
        </w:tc>
        <w:tc>
          <w:tcPr>
            <w:tcW w:w="567" w:type="dxa"/>
            <w:shd w:val="clear" w:color="auto" w:fill="auto"/>
            <w:vAlign w:val="center"/>
          </w:tcPr>
          <w:p w:rsidR="00420A29" w:rsidRPr="00F24848" w:rsidRDefault="00420A29" w:rsidP="00170C0C">
            <w:pPr>
              <w:jc w:val="center"/>
              <w:rPr>
                <w:rFonts w:ascii="Times New Roman" w:eastAsia="Calibri" w:hAnsi="Times New Roman" w:cs="Times New Roman"/>
                <w:sz w:val="18"/>
                <w:szCs w:val="18"/>
              </w:rPr>
            </w:pPr>
            <w:r w:rsidRPr="00F24848">
              <w:rPr>
                <w:rFonts w:ascii="Times New Roman" w:eastAsia="Calibri" w:hAnsi="Times New Roman" w:cs="Times New Roman"/>
                <w:sz w:val="18"/>
                <w:szCs w:val="18"/>
              </w:rPr>
              <w:t>91.8</w:t>
            </w:r>
          </w:p>
        </w:tc>
      </w:tr>
    </w:tbl>
    <w:p w:rsidR="00420A29" w:rsidRPr="00BD29FF" w:rsidRDefault="00420A29" w:rsidP="00E64695">
      <w:pPr>
        <w:widowControl w:val="0"/>
        <w:overflowPunct w:val="0"/>
        <w:autoSpaceDE w:val="0"/>
        <w:autoSpaceDN w:val="0"/>
        <w:adjustRightInd w:val="0"/>
        <w:ind w:left="142" w:right="340"/>
        <w:jc w:val="both"/>
        <w:rPr>
          <w:rFonts w:ascii="Times New Roman" w:hAnsi="Times New Roman" w:cs="Times New Roman"/>
          <w:sz w:val="16"/>
          <w:szCs w:val="16"/>
        </w:rPr>
      </w:pPr>
      <w:r w:rsidRPr="00F24848">
        <w:rPr>
          <w:rFonts w:ascii="Times New Roman" w:hAnsi="Times New Roman" w:cs="Times New Roman"/>
          <w:sz w:val="16"/>
          <w:szCs w:val="16"/>
        </w:rPr>
        <w:t>*</w:t>
      </w:r>
      <w:r w:rsidRPr="00F24848">
        <w:rPr>
          <w:rFonts w:ascii="Times New Roman" w:hAnsi="Times New Roman" w:cs="Times New Roman"/>
          <w:i/>
          <w:sz w:val="16"/>
          <w:szCs w:val="16"/>
        </w:rPr>
        <w:t>K</w:t>
      </w:r>
      <w:r w:rsidRPr="00F24848">
        <w:rPr>
          <w:rFonts w:ascii="Times New Roman" w:hAnsi="Times New Roman" w:cs="Times New Roman"/>
          <w:sz w:val="16"/>
          <w:szCs w:val="16"/>
        </w:rPr>
        <w:t>, Cohen’s Kappa value : &lt;0 (lessthan change agreement), 0.01-0.20 (Poor agreement), 0.21-0.40 (Fair agreement), 0.41- 0.60(Moderate agreement), 0.61</w:t>
      </w:r>
      <w:r w:rsidR="00E5477F" w:rsidRPr="00F24848">
        <w:rPr>
          <w:rFonts w:ascii="Times New Roman" w:hAnsi="Times New Roman" w:cs="Times New Roman"/>
          <w:sz w:val="16"/>
          <w:szCs w:val="16"/>
        </w:rPr>
        <w:t>-0.80(Good agreement) and 0.81-</w:t>
      </w:r>
      <w:r w:rsidRPr="00F24848">
        <w:rPr>
          <w:rFonts w:ascii="Times New Roman" w:hAnsi="Times New Roman" w:cs="Times New Roman"/>
          <w:sz w:val="16"/>
          <w:szCs w:val="16"/>
        </w:rPr>
        <w:t>1(Very good agreement)</w:t>
      </w:r>
      <w:r w:rsidR="00BF374D" w:rsidRPr="00F24848">
        <w:rPr>
          <w:rFonts w:ascii="Times New Roman" w:hAnsi="Times New Roman" w:cs="Times New Roman"/>
          <w:sz w:val="16"/>
          <w:szCs w:val="16"/>
        </w:rPr>
        <w:fldChar w:fldCharType="begin" w:fldLock="1"/>
      </w:r>
      <w:r w:rsidR="00E5477F" w:rsidRPr="00F24848">
        <w:rPr>
          <w:rFonts w:ascii="Times New Roman" w:hAnsi="Times New Roman" w:cs="Times New Roman"/>
          <w:sz w:val="16"/>
          <w:szCs w:val="16"/>
        </w:rPr>
        <w:instrText>ADDIN CSL_CITATION { "citationItems" : [ { "id" : "ITEM-1", "itemData" : { "ISBN" : "0412276305", "author" : [ { "dropping-particle" : "", "family" : "Altman", "given" : "Douglas G", "non-dropping-particle" : "", "parse-names" : false, "suffix" : "" } ], "id" : "ITEM-1", "issued" : { "date-parts" : [ [ "1990" ] ] }, "publisher" : "CRC press", "title" : "Practical statistics for medical research", "type" : "book" }, "uris" : [ "http://www.mendeley.com/documents/?uuid=dfb7822b-2597-4a35-a02d-cbe0872eeee6" ] } ], "mendeley" : { "formattedCitation" : "[22]", "plainTextFormattedCitation" : "[22]", "previouslyFormattedCitation" : "[22]" }, "properties" : { "noteIndex" : 0 }, "schema" : "https://github.com/citation-style-language/schema/raw/master/csl-citation.json" }</w:instrText>
      </w:r>
      <w:r w:rsidR="00BF374D" w:rsidRPr="00F24848">
        <w:rPr>
          <w:rFonts w:ascii="Times New Roman" w:hAnsi="Times New Roman" w:cs="Times New Roman"/>
          <w:sz w:val="16"/>
          <w:szCs w:val="16"/>
        </w:rPr>
        <w:fldChar w:fldCharType="separate"/>
      </w:r>
      <w:r w:rsidR="00E5477F" w:rsidRPr="00F24848">
        <w:rPr>
          <w:rFonts w:ascii="Times New Roman" w:hAnsi="Times New Roman" w:cs="Times New Roman"/>
          <w:noProof/>
          <w:sz w:val="16"/>
          <w:szCs w:val="16"/>
        </w:rPr>
        <w:t>[22]</w:t>
      </w:r>
      <w:r w:rsidR="00BF374D" w:rsidRPr="00F24848">
        <w:rPr>
          <w:rFonts w:ascii="Times New Roman" w:hAnsi="Times New Roman" w:cs="Times New Roman"/>
          <w:sz w:val="16"/>
          <w:szCs w:val="16"/>
        </w:rPr>
        <w:fldChar w:fldCharType="end"/>
      </w:r>
    </w:p>
    <w:p w:rsidR="00166172" w:rsidRPr="00BD29FF" w:rsidRDefault="00166172" w:rsidP="00166172">
      <w:pPr>
        <w:spacing w:before="340" w:after="170"/>
        <w:jc w:val="both"/>
        <w:rPr>
          <w:rFonts w:ascii="Arial" w:hAnsi="Arial" w:cs="Arial"/>
          <w:b/>
          <w:szCs w:val="24"/>
          <w:lang w:val="en-GB"/>
        </w:rPr>
      </w:pPr>
      <w:r w:rsidRPr="00BD29FF">
        <w:rPr>
          <w:rFonts w:ascii="Arial" w:hAnsi="Arial" w:cs="Arial"/>
          <w:b/>
          <w:caps/>
          <w:szCs w:val="24"/>
          <w:lang w:val="en-GB"/>
        </w:rPr>
        <w:lastRenderedPageBreak/>
        <w:t xml:space="preserve">4 </w:t>
      </w:r>
      <w:r w:rsidRPr="00BD29FF">
        <w:rPr>
          <w:rFonts w:ascii="Arial" w:hAnsi="Arial" w:cs="Arial"/>
          <w:b/>
          <w:szCs w:val="24"/>
          <w:lang w:val="en-GB"/>
        </w:rPr>
        <w:t>Discussion</w:t>
      </w:r>
    </w:p>
    <w:p w:rsidR="00C21D70" w:rsidRPr="00BD29FF" w:rsidRDefault="00166172" w:rsidP="00166172">
      <w:pPr>
        <w:jc w:val="both"/>
        <w:rPr>
          <w:rFonts w:ascii="Times" w:hAnsi="Times"/>
          <w:sz w:val="20"/>
          <w:lang w:val="en-GB"/>
        </w:rPr>
      </w:pPr>
      <w:r w:rsidRPr="00F24848">
        <w:rPr>
          <w:rFonts w:ascii="Times" w:hAnsi="Times"/>
          <w:sz w:val="20"/>
          <w:lang w:val="en-GB"/>
        </w:rPr>
        <w:t xml:space="preserve">Table </w:t>
      </w:r>
      <w:r w:rsidR="0004497B" w:rsidRPr="00F24848">
        <w:rPr>
          <w:rFonts w:ascii="Times" w:hAnsi="Times"/>
          <w:sz w:val="20"/>
          <w:lang w:val="en-GB"/>
        </w:rPr>
        <w:t>2</w:t>
      </w:r>
      <w:r w:rsidR="0018487E">
        <w:rPr>
          <w:rFonts w:ascii="Times" w:hAnsi="Times"/>
          <w:sz w:val="20"/>
          <w:lang w:val="en-GB"/>
        </w:rPr>
        <w:t xml:space="preserve"> </w:t>
      </w:r>
      <w:r w:rsidR="00AE42BB" w:rsidRPr="00F24848">
        <w:rPr>
          <w:rFonts w:ascii="Times" w:hAnsi="Times"/>
          <w:sz w:val="20"/>
          <w:lang w:val="en-GB"/>
        </w:rPr>
        <w:t>indicates</w:t>
      </w:r>
      <w:r w:rsidRPr="00F24848">
        <w:rPr>
          <w:rFonts w:ascii="Times" w:hAnsi="Times"/>
          <w:sz w:val="20"/>
          <w:lang w:val="en-GB"/>
        </w:rPr>
        <w:t xml:space="preserve"> the result of </w:t>
      </w:r>
      <w:r w:rsidR="00C21D70" w:rsidRPr="00F24848">
        <w:rPr>
          <w:rFonts w:ascii="Times" w:hAnsi="Times"/>
          <w:sz w:val="20"/>
          <w:lang w:val="en-GB"/>
        </w:rPr>
        <w:t xml:space="preserve">the </w:t>
      </w:r>
      <w:r w:rsidRPr="00F24848">
        <w:rPr>
          <w:rFonts w:ascii="Times" w:hAnsi="Times"/>
          <w:sz w:val="20"/>
          <w:lang w:val="en-GB"/>
        </w:rPr>
        <w:t>inter-rater reliab</w:t>
      </w:r>
      <w:r w:rsidR="00C21D70" w:rsidRPr="00F24848">
        <w:rPr>
          <w:rFonts w:ascii="Times" w:hAnsi="Times"/>
          <w:sz w:val="20"/>
          <w:lang w:val="en-GB"/>
        </w:rPr>
        <w:t xml:space="preserve">ility analysis for Task A, Task B and Task </w:t>
      </w:r>
      <w:r w:rsidRPr="00F24848">
        <w:rPr>
          <w:rFonts w:ascii="Times" w:hAnsi="Times"/>
          <w:sz w:val="20"/>
          <w:lang w:val="en-GB"/>
        </w:rPr>
        <w:t>C. According to the resul</w:t>
      </w:r>
      <w:r w:rsidR="00C21D70" w:rsidRPr="00F24848">
        <w:rPr>
          <w:rFonts w:ascii="Times" w:hAnsi="Times"/>
          <w:sz w:val="20"/>
          <w:lang w:val="en-GB"/>
        </w:rPr>
        <w:t>ts for Task A’s ENBORA method on</w:t>
      </w:r>
      <w:r w:rsidRPr="00F24848">
        <w:rPr>
          <w:rFonts w:ascii="Times" w:hAnsi="Times"/>
          <w:sz w:val="20"/>
          <w:lang w:val="en-GB"/>
        </w:rPr>
        <w:t xml:space="preserve"> six main body regions, the Cohen’s Kappa (K) range</w:t>
      </w:r>
      <w:r w:rsidR="00C21D70" w:rsidRPr="00F24848">
        <w:rPr>
          <w:rFonts w:ascii="Times" w:hAnsi="Times"/>
          <w:sz w:val="20"/>
          <w:lang w:val="en-GB"/>
        </w:rPr>
        <w:t>d between</w:t>
      </w:r>
      <w:r w:rsidRPr="00F24848">
        <w:rPr>
          <w:rFonts w:ascii="Times" w:hAnsi="Times"/>
          <w:sz w:val="20"/>
          <w:lang w:val="en-GB"/>
        </w:rPr>
        <w:t xml:space="preserve"> 0.77 to 0.93 with good to very good agreement. The inter-rater reliability results for Task B show t</w:t>
      </w:r>
      <w:r w:rsidR="00C21D70" w:rsidRPr="00F24848">
        <w:rPr>
          <w:rFonts w:ascii="Times" w:hAnsi="Times"/>
          <w:sz w:val="20"/>
          <w:lang w:val="en-GB"/>
        </w:rPr>
        <w:t xml:space="preserve">hatthe </w:t>
      </w:r>
      <w:r w:rsidRPr="00F24848">
        <w:rPr>
          <w:rFonts w:ascii="Times" w:hAnsi="Times"/>
          <w:sz w:val="20"/>
          <w:lang w:val="en-GB"/>
        </w:rPr>
        <w:t xml:space="preserve">K </w:t>
      </w:r>
      <w:r w:rsidR="00C21D70" w:rsidRPr="00F24848">
        <w:rPr>
          <w:rFonts w:ascii="Times" w:hAnsi="Times"/>
          <w:sz w:val="20"/>
          <w:lang w:val="en-GB"/>
        </w:rPr>
        <w:t xml:space="preserve">values slightly increase compared to </w:t>
      </w:r>
      <w:r w:rsidRPr="00F24848">
        <w:rPr>
          <w:rFonts w:ascii="Times" w:hAnsi="Times"/>
          <w:sz w:val="20"/>
          <w:lang w:val="en-GB"/>
        </w:rPr>
        <w:t xml:space="preserve">Task A </w:t>
      </w:r>
      <w:r w:rsidR="00C21D70" w:rsidRPr="00F24848">
        <w:rPr>
          <w:rFonts w:ascii="Times" w:hAnsi="Times"/>
          <w:sz w:val="20"/>
          <w:lang w:val="en-GB"/>
        </w:rPr>
        <w:t>in terms of the body region</w:t>
      </w:r>
      <w:r w:rsidRPr="00F24848">
        <w:rPr>
          <w:rFonts w:ascii="Times" w:hAnsi="Times"/>
          <w:sz w:val="20"/>
          <w:lang w:val="en-GB"/>
        </w:rPr>
        <w:t xml:space="preserve"> analysis. The K </w:t>
      </w:r>
      <w:r w:rsidR="00C21D70" w:rsidRPr="00F24848">
        <w:rPr>
          <w:rFonts w:ascii="Times" w:hAnsi="Times"/>
          <w:sz w:val="20"/>
          <w:lang w:val="en-GB"/>
        </w:rPr>
        <w:t>values</w:t>
      </w:r>
      <w:r w:rsidRPr="00F24848">
        <w:rPr>
          <w:rFonts w:ascii="Times" w:hAnsi="Times"/>
          <w:sz w:val="20"/>
          <w:lang w:val="en-GB"/>
        </w:rPr>
        <w:t xml:space="preserve"> for Task B</w:t>
      </w:r>
      <w:r w:rsidR="00C21D70" w:rsidRPr="00F24848">
        <w:rPr>
          <w:rFonts w:ascii="Times" w:hAnsi="Times"/>
          <w:sz w:val="20"/>
          <w:lang w:val="en-GB"/>
        </w:rPr>
        <w:t xml:space="preserve"> ranged between </w:t>
      </w:r>
      <w:r w:rsidRPr="00F24848">
        <w:rPr>
          <w:rFonts w:ascii="Times" w:hAnsi="Times"/>
          <w:sz w:val="20"/>
          <w:lang w:val="en-GB"/>
        </w:rPr>
        <w:t>0.86 to 0.93 with very good agreement, whereas</w:t>
      </w:r>
      <w:r w:rsidR="00C21D70" w:rsidRPr="00F24848">
        <w:rPr>
          <w:rFonts w:ascii="Times" w:hAnsi="Times"/>
          <w:sz w:val="20"/>
          <w:lang w:val="en-GB"/>
        </w:rPr>
        <w:t xml:space="preserve"> the K values ranged between</w:t>
      </w:r>
      <w:r w:rsidRPr="00F24848">
        <w:rPr>
          <w:rFonts w:ascii="Times" w:hAnsi="Times"/>
          <w:sz w:val="20"/>
          <w:lang w:val="en-GB"/>
        </w:rPr>
        <w:t xml:space="preserve"> 0.86 to 0.93 for Task C’s six</w:t>
      </w:r>
      <w:r w:rsidRPr="00BD29FF">
        <w:rPr>
          <w:rFonts w:ascii="Times" w:hAnsi="Times"/>
          <w:sz w:val="20"/>
          <w:lang w:val="en-GB"/>
        </w:rPr>
        <w:t xml:space="preserve"> main body postures with very good agreement.</w:t>
      </w:r>
    </w:p>
    <w:p w:rsidR="007A1FAB" w:rsidRDefault="007A1FAB" w:rsidP="00166172">
      <w:pPr>
        <w:ind w:firstLine="454"/>
        <w:jc w:val="both"/>
        <w:rPr>
          <w:rFonts w:ascii="Times" w:hAnsi="Times"/>
          <w:sz w:val="20"/>
          <w:lang w:val="en-GB"/>
        </w:rPr>
      </w:pPr>
      <w:r>
        <w:rPr>
          <w:rFonts w:ascii="Times" w:hAnsi="Times"/>
          <w:sz w:val="20"/>
          <w:lang w:val="en-GB"/>
        </w:rPr>
        <w:t>In general</w:t>
      </w:r>
      <w:r w:rsidR="00166172" w:rsidRPr="00BD29FF">
        <w:rPr>
          <w:rFonts w:ascii="Times" w:hAnsi="Times"/>
          <w:sz w:val="20"/>
          <w:lang w:val="en-GB"/>
        </w:rPr>
        <w:t>, the observer</w:t>
      </w:r>
      <w:r>
        <w:rPr>
          <w:rFonts w:ascii="Times" w:hAnsi="Times"/>
          <w:sz w:val="20"/>
          <w:lang w:val="en-GB"/>
        </w:rPr>
        <w:t xml:space="preserve">s obtained </w:t>
      </w:r>
      <w:r w:rsidR="00166172" w:rsidRPr="00BD29FF">
        <w:rPr>
          <w:rFonts w:ascii="Times" w:hAnsi="Times"/>
          <w:sz w:val="20"/>
          <w:lang w:val="en-GB"/>
        </w:rPr>
        <w:t xml:space="preserve">the highest </w:t>
      </w:r>
      <w:r>
        <w:rPr>
          <w:rFonts w:ascii="Times" w:hAnsi="Times"/>
          <w:sz w:val="20"/>
          <w:lang w:val="en-GB"/>
        </w:rPr>
        <w:t xml:space="preserve">K value </w:t>
      </w:r>
      <w:r w:rsidR="00166172" w:rsidRPr="00BD29FF">
        <w:rPr>
          <w:rFonts w:ascii="Times" w:hAnsi="Times"/>
          <w:sz w:val="20"/>
          <w:lang w:val="en-GB"/>
        </w:rPr>
        <w:t>for the assessment of flexion and extension posture compared to b</w:t>
      </w:r>
      <w:r>
        <w:rPr>
          <w:rFonts w:ascii="Times" w:hAnsi="Times"/>
          <w:sz w:val="20"/>
          <w:lang w:val="en-GB"/>
        </w:rPr>
        <w:t xml:space="preserve">ending and rotation posture. </w:t>
      </w:r>
      <w:r w:rsidRPr="007A1FAB">
        <w:rPr>
          <w:rFonts w:ascii="Times" w:hAnsi="Times"/>
          <w:sz w:val="20"/>
          <w:lang w:val="en-GB"/>
        </w:rPr>
        <w:t>Task A’s Cohen’s Kappa value for neck flexion and extension was 0.93, and K=0.86 for the neck rotation. On the other hand, the K value for shoulder flexion and shoulder extension was 0.93, and K=0.86 for shoulder abduction, adduction and lateral bending. Additionally, the back flexion and extension for Task B recorded the highest value where K=0.93 compared to the K value for back rotation which was 0.86. The K value for bending and rotation posture for Task C was 0.86. However, the K value for flexion posture for the six main body regions was 0.93.</w:t>
      </w:r>
    </w:p>
    <w:p w:rsidR="007A1FAB" w:rsidRDefault="007A1FAB" w:rsidP="00166172">
      <w:pPr>
        <w:ind w:firstLine="454"/>
        <w:jc w:val="both"/>
        <w:rPr>
          <w:rFonts w:ascii="Times" w:hAnsi="Times"/>
          <w:sz w:val="20"/>
          <w:lang w:val="en-GB"/>
        </w:rPr>
      </w:pPr>
      <w:r w:rsidRPr="007A1FAB">
        <w:rPr>
          <w:rFonts w:ascii="Times" w:hAnsi="Times"/>
          <w:sz w:val="20"/>
          <w:lang w:val="en-GB"/>
        </w:rPr>
        <w:t>The other physical items including repetition, forceful exertion, contact stress, vibration and task duration show good to very good agreement with K values ranging from 0.77 to 0.93 for Task A until Task C. For psychosocial risk factors, for the K values for Task A ranged between 0.86 to 0.93, and 0.93 for each item for Task B and Task C.For work schedule items, Task A scored a K value of 0.86 while Task B and Task C both obtained a K value of 0.93. The individual items resulted in a moderate to very good agreement of K=0.55-0.86 for Task A whereas Task B and C obtained very good agreement because the value of K was 0.93. The total agreement of the inter-observer reliability for Task A resulted in a high Kappa value of 0.88 with a total agreement of 90%. The total agreement for Task B was K=0.91 with a total agreement of 92.3%. Nevertheless, Task C’s total agreement also resulted in a high Kappa value of K=0.91 with a total agreement of 91.8%. The results indicated very good agreement.</w:t>
      </w:r>
    </w:p>
    <w:p w:rsidR="00420A29" w:rsidRPr="00BD29FF" w:rsidRDefault="007A1FAB" w:rsidP="00FE6E1F">
      <w:pPr>
        <w:ind w:firstLine="454"/>
        <w:jc w:val="both"/>
        <w:rPr>
          <w:rFonts w:ascii="Times" w:hAnsi="Times"/>
          <w:sz w:val="20"/>
          <w:lang w:val="en-GB"/>
        </w:rPr>
      </w:pPr>
      <w:r w:rsidRPr="007A1FAB">
        <w:rPr>
          <w:rFonts w:ascii="Times" w:hAnsi="Times"/>
          <w:sz w:val="20"/>
          <w:lang w:val="en-GB"/>
        </w:rPr>
        <w:t>Based on the feedback obtained from the observers in the reliability analysis, the observers mentioned that they had difficulty understanding the neck rotation and bending angles due to the ambiguous illustration of the posture while the head position was also a bit confusing. The same problem occurred during the evaluation of the medial rotation and lateral rotation of the shoulders.The observers found the illustrations to be confusing because the view from the head position was difficult to understand. In addition, there are similarities between the inter-rater reliability obtained in this research and the results presented by other researchers which were used to examine body posture.</w:t>
      </w:r>
      <w:r w:rsidR="00166172" w:rsidRPr="00BD29FF">
        <w:rPr>
          <w:rFonts w:ascii="Times" w:hAnsi="Times"/>
          <w:sz w:val="20"/>
          <w:lang w:val="en-GB"/>
        </w:rPr>
        <w:t xml:space="preserve">For example, </w:t>
      </w:r>
      <w:r w:rsidR="00BF374D" w:rsidRPr="00BD29FF">
        <w:rPr>
          <w:rFonts w:ascii="Times" w:hAnsi="Times"/>
          <w:sz w:val="20"/>
          <w:lang w:val="en-GB"/>
        </w:rPr>
        <w:fldChar w:fldCharType="begin" w:fldLock="1"/>
      </w:r>
      <w:r w:rsidR="00E5477F" w:rsidRPr="00BD29FF">
        <w:rPr>
          <w:rFonts w:ascii="Times" w:hAnsi="Times"/>
          <w:sz w:val="20"/>
          <w:lang w:val="en-GB"/>
        </w:rPr>
        <w:instrText>ADDIN CSL_CITATION { "citationItems" : [ { "id" : "ITEM-1", "itemData" : { "DOI" : "10.1016/j.apergo.2013.02.006", "ISSN" : "0003-6870", "author" : [ { "dropping-particle" : "", "family" : "Coenen", "given" : "Pieter", "non-dropping-particle" : "", "parse-names" : false, "suffix" : "" } ], "container-title" : "Applied Ergonomics", "id" : "ITEM-1", "issue" : "5", "issued" : { "date-parts" : [ [ "2016" ] ] }, "page" : "828-834", "publisher" : "Elsevier Ltd", "title" : "Inter-rater reliability of a video-analysis method measuring low-back load in a field situation", "type" : "article-journal", "volume" : "44" }, "uris" : [ "http://www.mendeley.com/documents/?uuid=ec4356e4-93a1-4bff-81d7-6f73b44abf84" ] } ], "mendeley" : { "formattedCitation" : "[24]", "manualFormatting" : "Coenen et al., ", "plainTextFormattedCitation" : "[24]", "previouslyFormattedCitation" : "[24]" }, "properties" : { "noteIndex" : 0 }, "schema" : "https://github.com/citation-style-language/schema/raw/master/csl-citation.json" }</w:instrText>
      </w:r>
      <w:r w:rsidR="00BF374D" w:rsidRPr="00BD29FF">
        <w:rPr>
          <w:rFonts w:ascii="Times" w:hAnsi="Times"/>
          <w:sz w:val="20"/>
          <w:lang w:val="en-GB"/>
        </w:rPr>
        <w:fldChar w:fldCharType="separate"/>
      </w:r>
      <w:r w:rsidR="00680DD6" w:rsidRPr="00BD29FF">
        <w:rPr>
          <w:rFonts w:ascii="Times" w:hAnsi="Times"/>
          <w:noProof/>
          <w:sz w:val="20"/>
          <w:lang w:val="en-GB"/>
        </w:rPr>
        <w:t>Coenen et al.</w:t>
      </w:r>
      <w:r w:rsidR="00E5477F" w:rsidRPr="00BD29FF">
        <w:rPr>
          <w:rFonts w:ascii="Times" w:hAnsi="Times"/>
          <w:noProof/>
          <w:sz w:val="20"/>
          <w:lang w:val="en-GB"/>
        </w:rPr>
        <w:t>,</w:t>
      </w:r>
      <w:r w:rsidR="00BF374D" w:rsidRPr="00BD29FF">
        <w:rPr>
          <w:rFonts w:ascii="Times" w:hAnsi="Times"/>
          <w:sz w:val="20"/>
          <w:lang w:val="en-GB"/>
        </w:rPr>
        <w:fldChar w:fldCharType="end"/>
      </w:r>
      <w:r w:rsidRPr="007A1FAB">
        <w:rPr>
          <w:rFonts w:ascii="Times" w:hAnsi="Times"/>
          <w:sz w:val="20"/>
          <w:lang w:val="en-GB"/>
        </w:rPr>
        <w:t>had obtained very good agreement for trunk flexion angle, trunk lateral flexion, elbow flexion and shoulder flexion. However, poor agreement was obtained for trunk rotation and shoulder abduction</w:t>
      </w:r>
      <w:r w:rsidR="0018487E">
        <w:rPr>
          <w:rFonts w:ascii="Times" w:hAnsi="Times"/>
          <w:sz w:val="20"/>
          <w:lang w:val="en-GB"/>
        </w:rPr>
        <w:t xml:space="preserve"> </w:t>
      </w:r>
      <w:r w:rsidR="00BF374D" w:rsidRPr="00BD29FF">
        <w:rPr>
          <w:rFonts w:ascii="Times" w:hAnsi="Times"/>
          <w:sz w:val="20"/>
          <w:lang w:val="en-GB"/>
        </w:rPr>
        <w:fldChar w:fldCharType="begin" w:fldLock="1"/>
      </w:r>
      <w:r w:rsidR="00E5477F" w:rsidRPr="00BD29FF">
        <w:rPr>
          <w:rFonts w:ascii="Times" w:hAnsi="Times"/>
          <w:sz w:val="20"/>
          <w:lang w:val="en-GB"/>
        </w:rPr>
        <w:instrText>ADDIN CSL_CITATION { "citationItems" : [ { "id" : "ITEM-1", "itemData" : { "DOI" : "10.1016/j.apergo.2013.02.006", "ISSN" : "0003-6870", "author" : [ { "dropping-particle" : "", "family" : "Coenen", "given" : "Pieter", "non-dropping-particle" : "", "parse-names" : false, "suffix" : "" } ], "container-title" : "Applied Ergonomics", "id" : "ITEM-1", "issue" : "5", "issued" : { "date-parts" : [ [ "2016" ] ] }, "page" : "828-834", "publisher" : "Elsevier Ltd", "title" : "Inter-rater reliability of a video-analysis method measuring low-back load in a field situation", "type" : "article-journal", "volume" : "44" }, "uris" : [ "http://www.mendeley.com/documents/?uuid=ec4356e4-93a1-4bff-81d7-6f73b44abf84" ] } ], "mendeley" : { "formattedCitation" : "[24]", "plainTextFormattedCitation" : "[24]", "previouslyFormattedCitation" : "[24]" }, "properties" : { "noteIndex" : 0 }, "schema" : "https://github.com/citation-style-language/schema/raw/master/csl-citation.json" }</w:instrText>
      </w:r>
      <w:r w:rsidR="00BF374D" w:rsidRPr="00BD29FF">
        <w:rPr>
          <w:rFonts w:ascii="Times" w:hAnsi="Times"/>
          <w:sz w:val="20"/>
          <w:lang w:val="en-GB"/>
        </w:rPr>
        <w:fldChar w:fldCharType="separate"/>
      </w:r>
      <w:r w:rsidR="00E5477F" w:rsidRPr="00BD29FF">
        <w:rPr>
          <w:rFonts w:ascii="Times" w:hAnsi="Times"/>
          <w:noProof/>
          <w:sz w:val="20"/>
          <w:lang w:val="en-GB"/>
        </w:rPr>
        <w:t>[24]</w:t>
      </w:r>
      <w:r w:rsidR="00BF374D" w:rsidRPr="00BD29FF">
        <w:rPr>
          <w:rFonts w:ascii="Times" w:hAnsi="Times"/>
          <w:sz w:val="20"/>
          <w:lang w:val="en-GB"/>
        </w:rPr>
        <w:fldChar w:fldCharType="end"/>
      </w:r>
      <w:r w:rsidR="00166172" w:rsidRPr="00BD29FF">
        <w:rPr>
          <w:rFonts w:ascii="Times" w:hAnsi="Times"/>
          <w:sz w:val="20"/>
          <w:lang w:val="en-GB"/>
        </w:rPr>
        <w:t xml:space="preserve">. Meanwhile, </w:t>
      </w:r>
      <w:r w:rsidR="00BF374D" w:rsidRPr="00BD29FF">
        <w:rPr>
          <w:rFonts w:ascii="Times" w:hAnsi="Times"/>
          <w:sz w:val="20"/>
          <w:lang w:val="en-GB"/>
        </w:rPr>
        <w:fldChar w:fldCharType="begin" w:fldLock="1"/>
      </w:r>
      <w:r w:rsidR="00E5477F" w:rsidRPr="00BD29FF">
        <w:rPr>
          <w:rFonts w:ascii="Times" w:hAnsi="Times"/>
          <w:sz w:val="20"/>
          <w:lang w:val="en-GB"/>
        </w:rPr>
        <w:instrText>ADDIN CSL_CITATION { "citationItems" : [ { "id" : "ITEM-1", "itemData" : { "author" : [ { "dropping-particle" : "", "family" : "Burt", "given" : "Susan", "non-dropping-particle" : "", "parse-names" : false, "suffix" : "" }, { "dropping-particle" : "", "family" : "Punnett", "given" : "Laura", "non-dropping-particle" : "", "parse-names" : false, "suffix" : "" } ], "id" : "ITEM-1", "issued" : { "date-parts" : [ [ "1999" ] ] }, "title" : "Evaluation of interrater reliability for posture observations in a field study", "type" : "article-journal", "volume" : "30" }, "uris" : [ "http://www.mendeley.com/documents/?uuid=2be8417f-0e93-4e2a-9c43-057911ce02f5" ] } ], "mendeley" : { "formattedCitation" : "[21]", "manualFormatting" : "Burt and Punnett ", "plainTextFormattedCitation" : "[21]", "previouslyFormattedCitation" : "[21]" }, "properties" : { "noteIndex" : 0 }, "schema" : "https://github.com/citation-style-language/schema/raw/master/csl-citation.json" }</w:instrText>
      </w:r>
      <w:r w:rsidR="00BF374D" w:rsidRPr="00BD29FF">
        <w:rPr>
          <w:rFonts w:ascii="Times" w:hAnsi="Times"/>
          <w:sz w:val="20"/>
          <w:lang w:val="en-GB"/>
        </w:rPr>
        <w:fldChar w:fldCharType="separate"/>
      </w:r>
      <w:r w:rsidR="00680DD6" w:rsidRPr="00BD29FF">
        <w:rPr>
          <w:rFonts w:ascii="Times" w:hAnsi="Times"/>
          <w:noProof/>
          <w:sz w:val="20"/>
          <w:lang w:val="en-GB"/>
        </w:rPr>
        <w:t xml:space="preserve">Burt and Punnett </w:t>
      </w:r>
      <w:r w:rsidR="00BF374D" w:rsidRPr="00BD29FF">
        <w:rPr>
          <w:rFonts w:ascii="Times" w:hAnsi="Times"/>
          <w:sz w:val="20"/>
          <w:lang w:val="en-GB"/>
        </w:rPr>
        <w:fldChar w:fldCharType="end"/>
      </w:r>
      <w:r w:rsidR="00FE6E1F" w:rsidRPr="00FE6E1F">
        <w:rPr>
          <w:rFonts w:ascii="Times" w:hAnsi="Times"/>
          <w:sz w:val="20"/>
          <w:lang w:val="en-GB"/>
        </w:rPr>
        <w:t>had discovered that gross body motions including back flexion were easier to observe which will then develop a better agreement compared to smaller motions such as wrist deviation</w:t>
      </w:r>
      <w:r w:rsidR="0018487E">
        <w:rPr>
          <w:rFonts w:ascii="Times" w:hAnsi="Times"/>
          <w:sz w:val="20"/>
          <w:lang w:val="en-GB"/>
        </w:rPr>
        <w:t xml:space="preserve"> </w:t>
      </w:r>
      <w:r w:rsidR="00BF374D" w:rsidRPr="00BD29FF">
        <w:rPr>
          <w:rFonts w:ascii="Times" w:hAnsi="Times"/>
          <w:sz w:val="20"/>
          <w:lang w:val="en-GB"/>
        </w:rPr>
        <w:fldChar w:fldCharType="begin" w:fldLock="1"/>
      </w:r>
      <w:r w:rsidR="00E5477F" w:rsidRPr="00BD29FF">
        <w:rPr>
          <w:rFonts w:ascii="Times" w:hAnsi="Times"/>
          <w:sz w:val="20"/>
          <w:lang w:val="en-GB"/>
        </w:rPr>
        <w:instrText>ADDIN CSL_CITATION { "citationItems" : [ { "id" : "ITEM-1", "itemData" : { "author" : [ { "dropping-particle" : "", "family" : "Burt", "given" : "Susan", "non-dropping-particle" : "", "parse-names" : false, "suffix" : "" }, { "dropping-particle" : "", "family" : "Punnett", "given" : "Laura", "non-dropping-particle" : "", "parse-names" : false, "suffix" : "" } ], "id" : "ITEM-1", "issued" : { "date-parts" : [ [ "1999" ] ] }, "title" : "Evaluation of interrater reliability for posture observations in a field study", "type" : "article-journal", "volume" : "30" }, "uris" : [ "http://www.mendeley.com/documents/?uuid=2be8417f-0e93-4e2a-9c43-057911ce02f5" ] } ], "mendeley" : { "formattedCitation" : "[21]", "plainTextFormattedCitation" : "[21]", "previouslyFormattedCitation" : "[21]" }, "properties" : { "noteIndex" : 0 }, "schema" : "https://github.com/citation-style-language/schema/raw/master/csl-citation.json" }</w:instrText>
      </w:r>
      <w:r w:rsidR="00BF374D" w:rsidRPr="00BD29FF">
        <w:rPr>
          <w:rFonts w:ascii="Times" w:hAnsi="Times"/>
          <w:sz w:val="20"/>
          <w:lang w:val="en-GB"/>
        </w:rPr>
        <w:fldChar w:fldCharType="separate"/>
      </w:r>
      <w:r w:rsidR="00E5477F" w:rsidRPr="00BD29FF">
        <w:rPr>
          <w:rFonts w:ascii="Times" w:hAnsi="Times"/>
          <w:noProof/>
          <w:sz w:val="20"/>
          <w:lang w:val="en-GB"/>
        </w:rPr>
        <w:t>[21]</w:t>
      </w:r>
      <w:r w:rsidR="00BF374D" w:rsidRPr="00BD29FF">
        <w:rPr>
          <w:rFonts w:ascii="Times" w:hAnsi="Times"/>
          <w:sz w:val="20"/>
          <w:lang w:val="en-GB"/>
        </w:rPr>
        <w:fldChar w:fldCharType="end"/>
      </w:r>
      <w:r w:rsidR="00166172" w:rsidRPr="00BD29FF">
        <w:rPr>
          <w:rFonts w:ascii="Times" w:hAnsi="Times"/>
          <w:sz w:val="20"/>
          <w:lang w:val="en-GB"/>
        </w:rPr>
        <w:t>.</w:t>
      </w:r>
    </w:p>
    <w:p w:rsidR="00166172" w:rsidRPr="00BD29FF" w:rsidRDefault="00166172" w:rsidP="00166172">
      <w:pPr>
        <w:spacing w:before="340" w:after="170"/>
        <w:jc w:val="both"/>
        <w:rPr>
          <w:rFonts w:ascii="Arial" w:hAnsi="Arial" w:cs="Arial"/>
          <w:b/>
          <w:szCs w:val="24"/>
          <w:lang w:val="en-GB"/>
        </w:rPr>
      </w:pPr>
      <w:r w:rsidRPr="00BD29FF">
        <w:rPr>
          <w:rFonts w:ascii="Arial" w:hAnsi="Arial" w:cs="Arial"/>
          <w:b/>
          <w:caps/>
          <w:szCs w:val="24"/>
          <w:lang w:val="en-GB"/>
        </w:rPr>
        <w:t xml:space="preserve">5 </w:t>
      </w:r>
      <w:r w:rsidRPr="00BD29FF">
        <w:rPr>
          <w:rFonts w:ascii="Arial" w:hAnsi="Arial" w:cs="Arial"/>
          <w:b/>
          <w:szCs w:val="24"/>
          <w:lang w:val="en-GB"/>
        </w:rPr>
        <w:t>Conclusion</w:t>
      </w:r>
    </w:p>
    <w:p w:rsidR="00FE6E1F" w:rsidRDefault="00FE6E1F" w:rsidP="00CE2F42">
      <w:pPr>
        <w:jc w:val="both"/>
        <w:rPr>
          <w:rFonts w:ascii="Times" w:hAnsi="Times"/>
          <w:sz w:val="20"/>
          <w:lang w:val="en-GB"/>
        </w:rPr>
      </w:pPr>
      <w:r w:rsidRPr="00FE6E1F">
        <w:rPr>
          <w:rFonts w:ascii="Times" w:hAnsi="Times"/>
          <w:sz w:val="20"/>
          <w:lang w:val="en-GB"/>
        </w:rPr>
        <w:t xml:space="preserve">The main purpose of the Entire Body Risk Assessment (ENBORA) is to provide a quick way to identify exposure to physical risk factors, psychosocial risk factors, work organisational risk factors and individual risk factors associated with work-related musculoskeletal disorders (WMSDs). The results for inter-rater reliability were (K=0.88) for Task A, (K=0.91) for Task B, and (K=0.91) for Task C which showed very good agreement. To conclude, the ENBORA method is a reliable tool which can be applied by </w:t>
      </w:r>
      <w:r w:rsidRPr="00FE6E1F">
        <w:rPr>
          <w:rFonts w:ascii="Times" w:hAnsi="Times"/>
          <w:sz w:val="20"/>
          <w:lang w:val="en-GB"/>
        </w:rPr>
        <w:lastRenderedPageBreak/>
        <w:t>well-guided practitioners to assess the exposure to risk factors related to WMSDs.With this tool, it will be easier for employers to recognise and identify the improvements required in their work stations in order to reduce the high occurrence of musculoskeletal disorders and improve employee productivity.</w:t>
      </w:r>
    </w:p>
    <w:p w:rsidR="00166172" w:rsidRPr="00BD29FF" w:rsidRDefault="00166172" w:rsidP="00166172">
      <w:pPr>
        <w:spacing w:before="340" w:after="170"/>
        <w:jc w:val="both"/>
        <w:rPr>
          <w:rFonts w:ascii="Arial" w:hAnsi="Arial" w:cs="Arial"/>
          <w:b/>
          <w:szCs w:val="24"/>
          <w:lang w:val="en-GB"/>
        </w:rPr>
      </w:pPr>
      <w:r w:rsidRPr="00BD29FF">
        <w:rPr>
          <w:rFonts w:ascii="Arial" w:hAnsi="Arial" w:cs="Arial"/>
          <w:b/>
          <w:szCs w:val="24"/>
          <w:lang w:val="en-GB"/>
        </w:rPr>
        <w:t>Acknowledgements</w:t>
      </w:r>
    </w:p>
    <w:p w:rsidR="00166172" w:rsidRPr="00BD29FF" w:rsidRDefault="00166172" w:rsidP="00CE2F42">
      <w:pPr>
        <w:spacing w:before="340" w:after="170"/>
        <w:jc w:val="both"/>
        <w:rPr>
          <w:rFonts w:ascii="Times" w:hAnsi="Times"/>
          <w:sz w:val="20"/>
          <w:lang w:val="en-GB"/>
        </w:rPr>
      </w:pPr>
      <w:r w:rsidRPr="00BD29FF">
        <w:rPr>
          <w:rFonts w:ascii="Times" w:hAnsi="Times"/>
          <w:sz w:val="20"/>
          <w:lang w:val="en-GB"/>
        </w:rPr>
        <w:t>This research is funded by the Ministry of Higher Education of Malaysia (MOHE) and Universiti</w:t>
      </w:r>
      <w:r w:rsidR="0018487E">
        <w:rPr>
          <w:rFonts w:ascii="Times" w:hAnsi="Times"/>
          <w:sz w:val="20"/>
          <w:lang w:val="en-GB"/>
        </w:rPr>
        <w:t xml:space="preserve"> </w:t>
      </w:r>
      <w:r w:rsidRPr="00BD29FF">
        <w:rPr>
          <w:rFonts w:ascii="Times" w:hAnsi="Times"/>
          <w:sz w:val="20"/>
          <w:lang w:val="en-GB"/>
        </w:rPr>
        <w:t xml:space="preserve">Tun Hussein Onn Malaysia (UTHM) under </w:t>
      </w:r>
      <w:r w:rsidR="00BD29FF" w:rsidRPr="00BD29FF">
        <w:rPr>
          <w:rFonts w:ascii="Times" w:hAnsi="Times"/>
          <w:sz w:val="20"/>
          <w:lang w:val="en-GB"/>
        </w:rPr>
        <w:t>Fundamental</w:t>
      </w:r>
      <w:r w:rsidRPr="00BD29FF">
        <w:rPr>
          <w:rFonts w:ascii="Times" w:hAnsi="Times"/>
          <w:sz w:val="20"/>
          <w:lang w:val="en-GB"/>
        </w:rPr>
        <w:t xml:space="preserve"> Research Grant Scheme (FRGS, Vot 1495)</w:t>
      </w:r>
    </w:p>
    <w:p w:rsidR="00DB3B4E" w:rsidRPr="00BD29FF" w:rsidRDefault="00DB3B4E" w:rsidP="00CE2F42">
      <w:pPr>
        <w:spacing w:before="340" w:after="170"/>
        <w:jc w:val="both"/>
        <w:rPr>
          <w:rFonts w:ascii="Arial" w:hAnsi="Arial" w:cs="Arial"/>
          <w:b/>
          <w:szCs w:val="24"/>
          <w:lang w:val="en-GB"/>
        </w:rPr>
      </w:pPr>
      <w:r w:rsidRPr="00BD29FF">
        <w:rPr>
          <w:rFonts w:ascii="Arial" w:hAnsi="Arial" w:cs="Arial"/>
          <w:b/>
          <w:szCs w:val="24"/>
          <w:lang w:val="en-GB"/>
        </w:rPr>
        <w:t>References</w:t>
      </w:r>
    </w:p>
    <w:p w:rsidR="00AC308A" w:rsidRPr="00BD29FF" w:rsidRDefault="00BF374D" w:rsidP="00AC308A">
      <w:pPr>
        <w:widowControl w:val="0"/>
        <w:autoSpaceDE w:val="0"/>
        <w:autoSpaceDN w:val="0"/>
        <w:adjustRightInd w:val="0"/>
        <w:ind w:left="640" w:hanging="640"/>
        <w:jc w:val="both"/>
        <w:rPr>
          <w:rFonts w:ascii="Times New Roman" w:hAnsi="Times New Roman" w:cs="Times New Roman"/>
          <w:noProof/>
          <w:sz w:val="20"/>
          <w:szCs w:val="24"/>
        </w:rPr>
      </w:pPr>
      <w:r w:rsidRPr="00BD29FF">
        <w:rPr>
          <w:rFonts w:ascii="Times New Roman" w:hAnsi="Times New Roman" w:cs="Times New Roman"/>
          <w:b/>
          <w:sz w:val="20"/>
        </w:rPr>
        <w:fldChar w:fldCharType="begin" w:fldLock="1"/>
      </w:r>
      <w:r w:rsidR="00E5477F" w:rsidRPr="00BD29FF">
        <w:rPr>
          <w:rFonts w:ascii="Times New Roman" w:hAnsi="Times New Roman" w:cs="Times New Roman"/>
          <w:b/>
          <w:sz w:val="20"/>
        </w:rPr>
        <w:instrText xml:space="preserve">ADDIN Mendeley Bibliography CSL_BIBLIOGRAPHY </w:instrText>
      </w:r>
      <w:r w:rsidRPr="00BD29FF">
        <w:rPr>
          <w:rFonts w:ascii="Times New Roman" w:hAnsi="Times New Roman" w:cs="Times New Roman"/>
          <w:b/>
          <w:sz w:val="20"/>
        </w:rPr>
        <w:fldChar w:fldCharType="separate"/>
      </w:r>
    </w:p>
    <w:p w:rsidR="00AC308A" w:rsidRPr="00BD29FF" w:rsidRDefault="00452E67" w:rsidP="00AC308A">
      <w:pPr>
        <w:widowControl w:val="0"/>
        <w:autoSpaceDE w:val="0"/>
        <w:autoSpaceDN w:val="0"/>
        <w:adjustRightInd w:val="0"/>
        <w:ind w:left="640" w:hanging="640"/>
        <w:jc w:val="both"/>
        <w:rPr>
          <w:rFonts w:ascii="Times New Roman" w:hAnsi="Times New Roman" w:cs="Times New Roman"/>
          <w:noProof/>
          <w:sz w:val="20"/>
        </w:rPr>
      </w:pPr>
      <w:r>
        <w:rPr>
          <w:rFonts w:ascii="Times New Roman" w:hAnsi="Times New Roman" w:cs="Times New Roman"/>
          <w:noProof/>
          <w:sz w:val="20"/>
        </w:rPr>
        <w:t>[1]</w:t>
      </w:r>
      <w:r>
        <w:rPr>
          <w:rFonts w:ascii="Times New Roman" w:hAnsi="Times New Roman" w:cs="Times New Roman"/>
          <w:noProof/>
          <w:sz w:val="20"/>
        </w:rPr>
        <w:tab/>
        <w:t xml:space="preserve">M. S. </w:t>
      </w:r>
      <w:r w:rsidR="00AC308A" w:rsidRPr="00BD29FF">
        <w:rPr>
          <w:rFonts w:ascii="Times New Roman" w:hAnsi="Times New Roman" w:cs="Times New Roman"/>
          <w:noProof/>
          <w:sz w:val="20"/>
        </w:rPr>
        <w:t xml:space="preserve">Forde, L. Punnett, D. H. Wegman, “Pathomechanisms of work-related musculoskeletal disorders: </w:t>
      </w:r>
      <w:r w:rsidR="007B79E4">
        <w:rPr>
          <w:rFonts w:ascii="Times New Roman" w:hAnsi="Times New Roman" w:cs="Times New Roman"/>
          <w:noProof/>
          <w:sz w:val="20"/>
        </w:rPr>
        <w:t>conceptual issues,”</w:t>
      </w:r>
      <w:r w:rsidR="003C5D73" w:rsidRPr="00BD29FF">
        <w:rPr>
          <w:rFonts w:ascii="Times New Roman" w:hAnsi="Times New Roman" w:cs="Times New Roman"/>
          <w:noProof/>
          <w:sz w:val="20"/>
        </w:rPr>
        <w:t xml:space="preserve"> Ergonomics</w:t>
      </w:r>
      <w:r w:rsidR="00AC308A" w:rsidRPr="00BD29FF">
        <w:rPr>
          <w:rFonts w:ascii="Times New Roman" w:hAnsi="Times New Roman" w:cs="Times New Roman"/>
          <w:b/>
          <w:noProof/>
          <w:sz w:val="20"/>
        </w:rPr>
        <w:t>45</w:t>
      </w:r>
      <w:r w:rsidR="00AC308A" w:rsidRPr="00BD29FF">
        <w:rPr>
          <w:rFonts w:ascii="Times New Roman" w:hAnsi="Times New Roman" w:cs="Times New Roman"/>
          <w:noProof/>
          <w:sz w:val="20"/>
        </w:rPr>
        <w:t>, 9, pp 619-630 (2002)</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[2]</w:t>
      </w:r>
      <w:r w:rsidRPr="00BD29FF">
        <w:rPr>
          <w:rFonts w:ascii="Times New Roman" w:hAnsi="Times New Roman" w:cs="Times New Roman"/>
          <w:noProof/>
          <w:sz w:val="20"/>
        </w:rPr>
        <w:tab/>
        <w:t>K. Kemmlert, “Labour inspectorate investigation for the prevention of occupational musculo-skeletal injuries,” Natl. Inst. Occup. Heal. Solna, Sweden (1994)</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[3]</w:t>
      </w:r>
      <w:r w:rsidRPr="00BD29FF">
        <w:rPr>
          <w:rFonts w:ascii="Times New Roman" w:hAnsi="Times New Roman" w:cs="Times New Roman"/>
          <w:noProof/>
          <w:sz w:val="20"/>
        </w:rPr>
        <w:tab/>
        <w:t>K. Macdonald, D. King, “Work-related musculoskeletal disorders in veterinary echocardiographers: A cross-sectional study on prevalence and</w:t>
      </w:r>
      <w:r w:rsidR="003C5D73" w:rsidRPr="00BD29FF">
        <w:rPr>
          <w:rFonts w:ascii="Times New Roman" w:hAnsi="Times New Roman" w:cs="Times New Roman"/>
          <w:noProof/>
          <w:sz w:val="20"/>
        </w:rPr>
        <w:t xml:space="preserve"> risk factors,” J. Vet. Cardiol</w:t>
      </w:r>
      <w:r w:rsidRPr="00BD29FF">
        <w:rPr>
          <w:rFonts w:ascii="Times New Roman" w:hAnsi="Times New Roman" w:cs="Times New Roman"/>
          <w:b/>
          <w:noProof/>
          <w:sz w:val="20"/>
        </w:rPr>
        <w:t>16</w:t>
      </w:r>
      <w:r w:rsidRPr="00BD29FF">
        <w:rPr>
          <w:rFonts w:ascii="Times New Roman" w:hAnsi="Times New Roman" w:cs="Times New Roman"/>
          <w:noProof/>
          <w:sz w:val="20"/>
        </w:rPr>
        <w:t>, 1, pp. 27–37 (2014)</w:t>
      </w:r>
    </w:p>
    <w:p w:rsidR="00AC308A" w:rsidRPr="0018487E" w:rsidRDefault="0018487E" w:rsidP="00AC308A">
      <w:pPr>
        <w:widowControl w:val="0"/>
        <w:autoSpaceDE w:val="0"/>
        <w:autoSpaceDN w:val="0"/>
        <w:adjustRightInd w:val="0"/>
        <w:ind w:left="640" w:hanging="640"/>
        <w:jc w:val="both"/>
        <w:rPr>
          <w:rFonts w:ascii="Times New Roman" w:hAnsi="Times New Roman" w:cs="Times New Roman"/>
          <w:noProof/>
          <w:sz w:val="20"/>
        </w:rPr>
      </w:pPr>
      <w:r>
        <w:rPr>
          <w:rFonts w:ascii="Times New Roman" w:hAnsi="Times New Roman" w:cs="Times New Roman"/>
          <w:noProof/>
          <w:sz w:val="20"/>
        </w:rPr>
        <w:t>[4]</w:t>
      </w:r>
      <w:r>
        <w:rPr>
          <w:rFonts w:ascii="Times New Roman" w:hAnsi="Times New Roman" w:cs="Times New Roman"/>
          <w:noProof/>
          <w:sz w:val="20"/>
        </w:rPr>
        <w:tab/>
      </w:r>
      <w:r w:rsidRPr="0018487E">
        <w:rPr>
          <w:rFonts w:ascii="Times New Roman" w:hAnsi="Times New Roman" w:cs="Times New Roman"/>
          <w:noProof/>
          <w:sz w:val="20"/>
        </w:rPr>
        <w:t>M.N.</w:t>
      </w:r>
      <w:r w:rsidR="007B79E4" w:rsidRPr="0018487E">
        <w:rPr>
          <w:rFonts w:ascii="Times New Roman" w:hAnsi="Times New Roman" w:cs="Times New Roman"/>
          <w:noProof/>
          <w:sz w:val="20"/>
        </w:rPr>
        <w:t>A.</w:t>
      </w:r>
      <w:r w:rsidR="00AC308A" w:rsidRPr="0018487E">
        <w:rPr>
          <w:rFonts w:ascii="Times New Roman" w:hAnsi="Times New Roman" w:cs="Times New Roman"/>
          <w:noProof/>
          <w:sz w:val="20"/>
        </w:rPr>
        <w:t xml:space="preserve"> Rahman, F. A. Aziz, R. M. Yusuff, “Survey of body part symptoms </w:t>
      </w:r>
      <w:bookmarkStart w:id="0" w:name="_GoBack"/>
      <w:bookmarkEnd w:id="0"/>
      <w:r w:rsidR="00AC308A" w:rsidRPr="0018487E">
        <w:rPr>
          <w:rFonts w:ascii="Times New Roman" w:hAnsi="Times New Roman" w:cs="Times New Roman"/>
          <w:noProof/>
          <w:sz w:val="20"/>
        </w:rPr>
        <w:t xml:space="preserve">among workers in a car tyre </w:t>
      </w:r>
      <w:r w:rsidR="003C5D73" w:rsidRPr="0018487E">
        <w:rPr>
          <w:rFonts w:ascii="Times New Roman" w:hAnsi="Times New Roman" w:cs="Times New Roman"/>
          <w:noProof/>
          <w:sz w:val="20"/>
        </w:rPr>
        <w:t>service centre.,” J. Hum. Ergol</w:t>
      </w:r>
      <w:r w:rsidR="00AC308A" w:rsidRPr="0018487E">
        <w:rPr>
          <w:rFonts w:ascii="Times New Roman" w:hAnsi="Times New Roman" w:cs="Times New Roman"/>
          <w:b/>
          <w:noProof/>
          <w:sz w:val="20"/>
        </w:rPr>
        <w:t>39</w:t>
      </w:r>
      <w:r w:rsidR="00AC308A" w:rsidRPr="0018487E">
        <w:rPr>
          <w:rFonts w:ascii="Times New Roman" w:hAnsi="Times New Roman" w:cs="Times New Roman"/>
          <w:noProof/>
          <w:sz w:val="20"/>
        </w:rPr>
        <w:t xml:space="preserve">, 1, pp. 53–56 (2010) </w:t>
      </w:r>
    </w:p>
    <w:p w:rsidR="00AC308A" w:rsidRPr="0018487E"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18487E">
        <w:rPr>
          <w:rFonts w:ascii="Times New Roman" w:hAnsi="Times New Roman" w:cs="Times New Roman"/>
          <w:noProof/>
          <w:sz w:val="20"/>
        </w:rPr>
        <w:t>[5]</w:t>
      </w:r>
      <w:r w:rsidRPr="0018487E">
        <w:rPr>
          <w:rFonts w:ascii="Times New Roman" w:hAnsi="Times New Roman" w:cs="Times New Roman"/>
          <w:noProof/>
          <w:sz w:val="20"/>
        </w:rPr>
        <w:tab/>
        <w:t>M.N.A. Rahman, U. J. Hui, R. H. A. Haq, M. F. Hassan, A. M. T. Arifin, M. Z. Yunos, S. Adzila, “Musculoskeletal discomfort among workers in mould making manufacturing ind</w:t>
      </w:r>
      <w:r w:rsidR="003C5D73" w:rsidRPr="0018487E">
        <w:rPr>
          <w:rFonts w:ascii="Times New Roman" w:hAnsi="Times New Roman" w:cs="Times New Roman"/>
          <w:noProof/>
          <w:sz w:val="20"/>
        </w:rPr>
        <w:t>ustry,” ARPN J. Eng. Appl. Sci</w:t>
      </w:r>
      <w:r w:rsidRPr="0018487E">
        <w:rPr>
          <w:rFonts w:ascii="Times New Roman" w:hAnsi="Times New Roman" w:cs="Times New Roman"/>
          <w:b/>
          <w:noProof/>
          <w:sz w:val="20"/>
        </w:rPr>
        <w:t>10</w:t>
      </w:r>
      <w:r w:rsidRPr="0018487E">
        <w:rPr>
          <w:rFonts w:ascii="Times New Roman" w:hAnsi="Times New Roman" w:cs="Times New Roman"/>
          <w:noProof/>
          <w:sz w:val="20"/>
        </w:rPr>
        <w:t>, 15, pp. 6269–6273 (2015)</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18487E">
        <w:rPr>
          <w:rFonts w:ascii="Times New Roman" w:hAnsi="Times New Roman" w:cs="Times New Roman"/>
          <w:noProof/>
          <w:sz w:val="20"/>
        </w:rPr>
        <w:t>[6]</w:t>
      </w:r>
      <w:r w:rsidRPr="0018487E">
        <w:rPr>
          <w:rFonts w:ascii="Times New Roman" w:hAnsi="Times New Roman" w:cs="Times New Roman"/>
          <w:noProof/>
          <w:sz w:val="20"/>
        </w:rPr>
        <w:tab/>
        <w:t xml:space="preserve">M.N.A. Rahman, </w:t>
      </w:r>
      <w:r w:rsidR="0018487E" w:rsidRPr="0018487E">
        <w:rPr>
          <w:rFonts w:ascii="Times New Roman" w:hAnsi="Times New Roman" w:cs="Times New Roman"/>
          <w:noProof/>
          <w:sz w:val="20"/>
        </w:rPr>
        <w:t>M.</w:t>
      </w:r>
      <w:r w:rsidRPr="0018487E">
        <w:rPr>
          <w:rFonts w:ascii="Times New Roman" w:hAnsi="Times New Roman" w:cs="Times New Roman"/>
          <w:noProof/>
          <w:sz w:val="20"/>
        </w:rPr>
        <w:t>R.A.</w:t>
      </w:r>
      <w:r w:rsidRPr="00BD29FF">
        <w:rPr>
          <w:rFonts w:ascii="Times New Roman" w:hAnsi="Times New Roman" w:cs="Times New Roman"/>
          <w:noProof/>
          <w:sz w:val="20"/>
        </w:rPr>
        <w:t xml:space="preserve"> Rani, J. M. Rohani, "Investigation of work-related musculoskeletal disorders in wall plastering jobs within the construction industry." Work </w:t>
      </w:r>
      <w:r w:rsidRPr="00BD29FF">
        <w:rPr>
          <w:rFonts w:ascii="Times New Roman" w:hAnsi="Times New Roman" w:cs="Times New Roman"/>
          <w:b/>
          <w:noProof/>
          <w:sz w:val="20"/>
        </w:rPr>
        <w:t>43</w:t>
      </w:r>
      <w:r w:rsidRPr="00BD29FF">
        <w:rPr>
          <w:rFonts w:ascii="Times New Roman" w:hAnsi="Times New Roman" w:cs="Times New Roman"/>
          <w:noProof/>
          <w:sz w:val="20"/>
        </w:rPr>
        <w:t>, pp 507-514 (2012)</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[7]</w:t>
      </w:r>
      <w:r w:rsidRPr="00BD29FF">
        <w:rPr>
          <w:rFonts w:ascii="Times New Roman" w:hAnsi="Times New Roman" w:cs="Times New Roman"/>
          <w:noProof/>
          <w:sz w:val="20"/>
        </w:rPr>
        <w:tab/>
        <w:t xml:space="preserve">A. Burdorf, A. Van Der Beek, “Exposure assessment strategies for work-related risk factors for musculoskeletal disorders,” Scand J. W. Env. Health </w:t>
      </w:r>
      <w:r w:rsidRPr="00BD29FF">
        <w:rPr>
          <w:rFonts w:ascii="Times New Roman" w:hAnsi="Times New Roman" w:cs="Times New Roman"/>
          <w:b/>
          <w:noProof/>
          <w:sz w:val="20"/>
        </w:rPr>
        <w:t>4</w:t>
      </w:r>
      <w:r w:rsidRPr="00BD29FF">
        <w:rPr>
          <w:rFonts w:ascii="Times New Roman" w:hAnsi="Times New Roman" w:cs="Times New Roman"/>
          <w:noProof/>
          <w:sz w:val="20"/>
        </w:rPr>
        <w:t>, pp 25-30 (1999)</w:t>
      </w:r>
    </w:p>
    <w:p w:rsidR="00AC308A" w:rsidRPr="0018487E"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[8]</w:t>
      </w:r>
      <w:r w:rsidRPr="00BD29FF">
        <w:rPr>
          <w:rFonts w:ascii="Times New Roman" w:hAnsi="Times New Roman" w:cs="Times New Roman"/>
          <w:noProof/>
          <w:sz w:val="20"/>
        </w:rPr>
        <w:tab/>
      </w:r>
      <w:r w:rsidRPr="0018487E">
        <w:rPr>
          <w:rFonts w:ascii="Times New Roman" w:hAnsi="Times New Roman" w:cs="Times New Roman"/>
          <w:noProof/>
          <w:sz w:val="20"/>
        </w:rPr>
        <w:t xml:space="preserve">E.P. Takala, I. Pehkonen, M. Forsman, G. A. Hansson, S. E. Mathiassen, W. P. Neumann, G.Sjøgaard, K. B. Veiersted, R. H. Westgaard, J. Winkel. "Systematic evaluation of observational methods assessing biomechanical exposures at work." Scand J. W. Env. Health </w:t>
      </w:r>
      <w:r w:rsidRPr="0018487E">
        <w:rPr>
          <w:rFonts w:ascii="Times New Roman" w:hAnsi="Times New Roman" w:cs="Times New Roman"/>
          <w:b/>
          <w:noProof/>
          <w:sz w:val="20"/>
        </w:rPr>
        <w:t>36</w:t>
      </w:r>
      <w:r w:rsidRPr="0018487E">
        <w:rPr>
          <w:rFonts w:ascii="Times New Roman" w:hAnsi="Times New Roman" w:cs="Times New Roman"/>
          <w:noProof/>
          <w:sz w:val="20"/>
        </w:rPr>
        <w:t>, 1, pp 3-24 (2010)</w:t>
      </w:r>
    </w:p>
    <w:p w:rsidR="00AC308A" w:rsidRPr="0018487E"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18487E">
        <w:rPr>
          <w:rFonts w:ascii="Times New Roman" w:hAnsi="Times New Roman" w:cs="Times New Roman"/>
          <w:noProof/>
          <w:sz w:val="20"/>
        </w:rPr>
        <w:t>[9]</w:t>
      </w:r>
      <w:r w:rsidRPr="0018487E">
        <w:rPr>
          <w:rFonts w:ascii="Times New Roman" w:hAnsi="Times New Roman" w:cs="Times New Roman"/>
          <w:noProof/>
          <w:sz w:val="20"/>
        </w:rPr>
        <w:tab/>
        <w:t xml:space="preserve">T. J. Albin, “Measuring the validity and reliability of ergonomic checklists,” Work </w:t>
      </w:r>
      <w:r w:rsidRPr="0018487E">
        <w:rPr>
          <w:rFonts w:ascii="Times New Roman" w:hAnsi="Times New Roman" w:cs="Times New Roman"/>
          <w:b/>
          <w:noProof/>
          <w:sz w:val="20"/>
        </w:rPr>
        <w:t>43</w:t>
      </w:r>
      <w:r w:rsidRPr="0018487E">
        <w:rPr>
          <w:rFonts w:ascii="Times New Roman" w:hAnsi="Times New Roman" w:cs="Times New Roman"/>
          <w:noProof/>
          <w:sz w:val="20"/>
        </w:rPr>
        <w:t>, pp. 381–385 (2012)</w:t>
      </w:r>
    </w:p>
    <w:p w:rsidR="00AC308A" w:rsidRPr="0018487E"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18487E">
        <w:rPr>
          <w:rFonts w:ascii="Times New Roman" w:hAnsi="Times New Roman" w:cs="Times New Roman"/>
          <w:noProof/>
          <w:sz w:val="20"/>
        </w:rPr>
        <w:t>[10]</w:t>
      </w:r>
      <w:r w:rsidRPr="0018487E">
        <w:rPr>
          <w:rFonts w:ascii="Times New Roman" w:hAnsi="Times New Roman" w:cs="Times New Roman"/>
          <w:noProof/>
          <w:sz w:val="20"/>
        </w:rPr>
        <w:tab/>
        <w:t xml:space="preserve">O. Karhu, P. Kansi, I. Kuorinka, “Correcting working postures in industry : A practical method for analysis,” Appl. Ergon </w:t>
      </w:r>
      <w:r w:rsidRPr="0018487E">
        <w:rPr>
          <w:rFonts w:ascii="Times New Roman" w:hAnsi="Times New Roman" w:cs="Times New Roman"/>
          <w:b/>
          <w:noProof/>
          <w:sz w:val="20"/>
        </w:rPr>
        <w:t>8</w:t>
      </w:r>
      <w:r w:rsidR="003C5D73" w:rsidRPr="0018487E">
        <w:rPr>
          <w:rFonts w:ascii="Times New Roman" w:hAnsi="Times New Roman" w:cs="Times New Roman"/>
          <w:noProof/>
          <w:sz w:val="20"/>
        </w:rPr>
        <w:t>, 4, pp. 199–201 (1977)</w:t>
      </w:r>
    </w:p>
    <w:p w:rsidR="00AC308A" w:rsidRPr="0018487E"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18487E">
        <w:rPr>
          <w:rFonts w:ascii="Times New Roman" w:hAnsi="Times New Roman" w:cs="Times New Roman"/>
          <w:noProof/>
          <w:sz w:val="20"/>
        </w:rPr>
        <w:t>[11]</w:t>
      </w:r>
      <w:r w:rsidRPr="0018487E">
        <w:rPr>
          <w:rFonts w:ascii="Times New Roman" w:hAnsi="Times New Roman" w:cs="Times New Roman"/>
          <w:noProof/>
          <w:sz w:val="20"/>
        </w:rPr>
        <w:tab/>
        <w:t xml:space="preserve">B. Buchholz, V. Paquet, L. Punnett, D. Lee, and S. Moir, “PATH: A work sampling-based approach to ergonomic job analysis for construction and other non-repetitive work,” Appl. Ergon </w:t>
      </w:r>
      <w:r w:rsidRPr="0018487E">
        <w:rPr>
          <w:rFonts w:ascii="Times New Roman" w:hAnsi="Times New Roman" w:cs="Times New Roman"/>
          <w:b/>
          <w:noProof/>
          <w:sz w:val="20"/>
        </w:rPr>
        <w:t>27</w:t>
      </w:r>
      <w:r w:rsidRPr="0018487E">
        <w:rPr>
          <w:rFonts w:ascii="Times New Roman" w:hAnsi="Times New Roman" w:cs="Times New Roman"/>
          <w:noProof/>
          <w:sz w:val="20"/>
        </w:rPr>
        <w:t>, 3, pp. 177-187 (1996)</w:t>
      </w:r>
    </w:p>
    <w:p w:rsidR="00AC308A" w:rsidRPr="0018487E"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18487E">
        <w:rPr>
          <w:rFonts w:ascii="Times New Roman" w:hAnsi="Times New Roman" w:cs="Times New Roman"/>
          <w:noProof/>
          <w:sz w:val="20"/>
        </w:rPr>
        <w:t>[12]</w:t>
      </w:r>
      <w:r w:rsidRPr="0018487E">
        <w:rPr>
          <w:rFonts w:ascii="Times New Roman" w:hAnsi="Times New Roman" w:cs="Times New Roman"/>
          <w:noProof/>
          <w:sz w:val="20"/>
        </w:rPr>
        <w:tab/>
        <w:t>G. David, V. Woods, G. Li, P. Buckle, “The development of the Quick Exposure Check (QEC) for assessing exposure to risk factors for work-related musculos</w:t>
      </w:r>
      <w:r w:rsidR="003C5D73" w:rsidRPr="0018487E">
        <w:rPr>
          <w:rFonts w:ascii="Times New Roman" w:hAnsi="Times New Roman" w:cs="Times New Roman"/>
          <w:noProof/>
          <w:sz w:val="20"/>
        </w:rPr>
        <w:t>keletal disorders,” Appl. Ergon</w:t>
      </w:r>
      <w:r w:rsidRPr="0018487E">
        <w:rPr>
          <w:rFonts w:ascii="Times New Roman" w:hAnsi="Times New Roman" w:cs="Times New Roman"/>
          <w:b/>
          <w:noProof/>
          <w:sz w:val="20"/>
        </w:rPr>
        <w:t>39</w:t>
      </w:r>
      <w:r w:rsidRPr="0018487E">
        <w:rPr>
          <w:rFonts w:ascii="Times New Roman" w:hAnsi="Times New Roman" w:cs="Times New Roman"/>
          <w:noProof/>
          <w:sz w:val="20"/>
        </w:rPr>
        <w:t>,1, pp. 57–69 (2008)</w:t>
      </w:r>
    </w:p>
    <w:p w:rsidR="00AC308A" w:rsidRPr="0018487E"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18487E">
        <w:rPr>
          <w:rFonts w:ascii="Times New Roman" w:hAnsi="Times New Roman" w:cs="Times New Roman"/>
          <w:noProof/>
          <w:sz w:val="20"/>
        </w:rPr>
        <w:t>[13]</w:t>
      </w:r>
      <w:r w:rsidRPr="0018487E">
        <w:rPr>
          <w:rFonts w:ascii="Times New Roman" w:hAnsi="Times New Roman" w:cs="Times New Roman"/>
          <w:noProof/>
          <w:sz w:val="20"/>
        </w:rPr>
        <w:tab/>
        <w:t xml:space="preserve">S. Hignett, L. McAtamney, “Rapid entire body assessment (REBA),” Appl. Ergon </w:t>
      </w:r>
      <w:r w:rsidRPr="0018487E">
        <w:rPr>
          <w:rFonts w:ascii="Times New Roman" w:hAnsi="Times New Roman" w:cs="Times New Roman"/>
          <w:b/>
          <w:noProof/>
          <w:sz w:val="20"/>
        </w:rPr>
        <w:t>31</w:t>
      </w:r>
      <w:r w:rsidRPr="0018487E">
        <w:rPr>
          <w:rFonts w:ascii="Times New Roman" w:hAnsi="Times New Roman" w:cs="Times New Roman"/>
          <w:noProof/>
          <w:sz w:val="20"/>
        </w:rPr>
        <w:t>, 2, pp. 201–205 (2000)</w:t>
      </w:r>
    </w:p>
    <w:p w:rsidR="00AC308A" w:rsidRPr="00BD29FF" w:rsidRDefault="0018487E" w:rsidP="00AC308A">
      <w:pPr>
        <w:widowControl w:val="0"/>
        <w:autoSpaceDE w:val="0"/>
        <w:autoSpaceDN w:val="0"/>
        <w:adjustRightInd w:val="0"/>
        <w:ind w:left="640" w:hanging="640"/>
        <w:jc w:val="both"/>
        <w:rPr>
          <w:rFonts w:ascii="Times New Roman" w:hAnsi="Times New Roman" w:cs="Times New Roman"/>
          <w:noProof/>
          <w:sz w:val="20"/>
        </w:rPr>
      </w:pPr>
      <w:r w:rsidRPr="0018487E">
        <w:rPr>
          <w:rFonts w:ascii="Times New Roman" w:hAnsi="Times New Roman" w:cs="Times New Roman"/>
          <w:noProof/>
          <w:sz w:val="20"/>
        </w:rPr>
        <w:t>[14]</w:t>
      </w:r>
      <w:r w:rsidRPr="0018487E">
        <w:rPr>
          <w:rFonts w:ascii="Times New Roman" w:hAnsi="Times New Roman" w:cs="Times New Roman"/>
          <w:noProof/>
          <w:sz w:val="20"/>
        </w:rPr>
        <w:tab/>
        <w:t>M.N.</w:t>
      </w:r>
      <w:r w:rsidR="00AC308A" w:rsidRPr="0018487E">
        <w:rPr>
          <w:rFonts w:ascii="Times New Roman" w:hAnsi="Times New Roman" w:cs="Times New Roman"/>
          <w:noProof/>
          <w:sz w:val="20"/>
        </w:rPr>
        <w:t xml:space="preserve">A. Rahman, </w:t>
      </w:r>
      <w:r w:rsidRPr="0018487E">
        <w:rPr>
          <w:rFonts w:ascii="Times New Roman" w:hAnsi="Times New Roman" w:cs="Times New Roman"/>
          <w:noProof/>
          <w:sz w:val="20"/>
        </w:rPr>
        <w:t>M.R.</w:t>
      </w:r>
      <w:r w:rsidR="00AC308A" w:rsidRPr="0018487E">
        <w:rPr>
          <w:rFonts w:ascii="Times New Roman" w:hAnsi="Times New Roman" w:cs="Times New Roman"/>
          <w:noProof/>
          <w:sz w:val="20"/>
        </w:rPr>
        <w:t>A.</w:t>
      </w:r>
      <w:r w:rsidRPr="0018487E">
        <w:rPr>
          <w:rFonts w:ascii="Times New Roman" w:hAnsi="Times New Roman" w:cs="Times New Roman"/>
          <w:noProof/>
          <w:sz w:val="20"/>
        </w:rPr>
        <w:t xml:space="preserve"> </w:t>
      </w:r>
      <w:r w:rsidR="00AC308A" w:rsidRPr="0018487E">
        <w:rPr>
          <w:rFonts w:ascii="Times New Roman" w:hAnsi="Times New Roman" w:cs="Times New Roman"/>
          <w:noProof/>
          <w:sz w:val="20"/>
        </w:rPr>
        <w:t>Rani</w:t>
      </w:r>
      <w:r w:rsidR="007B79E4" w:rsidRPr="0018487E">
        <w:rPr>
          <w:rFonts w:ascii="Times New Roman" w:hAnsi="Times New Roman" w:cs="Times New Roman"/>
          <w:noProof/>
          <w:sz w:val="20"/>
        </w:rPr>
        <w:t>,</w:t>
      </w:r>
      <w:r w:rsidR="007B79E4">
        <w:rPr>
          <w:rFonts w:ascii="Times New Roman" w:hAnsi="Times New Roman" w:cs="Times New Roman"/>
          <w:noProof/>
          <w:sz w:val="20"/>
        </w:rPr>
        <w:t xml:space="preserve"> J. M. Rohani, “WERA: A</w:t>
      </w:r>
      <w:r w:rsidR="00AC308A" w:rsidRPr="00BD29FF">
        <w:rPr>
          <w:rFonts w:ascii="Times New Roman" w:hAnsi="Times New Roman" w:cs="Times New Roman"/>
          <w:noProof/>
          <w:sz w:val="20"/>
        </w:rPr>
        <w:t xml:space="preserve">n observational tool develop to investigate the physical risk factor associated with WMSDs,” J. Hum. </w:t>
      </w:r>
      <w:r w:rsidR="00AC308A" w:rsidRPr="00BD29FF">
        <w:rPr>
          <w:rFonts w:ascii="Times New Roman" w:hAnsi="Times New Roman" w:cs="Times New Roman"/>
          <w:noProof/>
          <w:sz w:val="20"/>
        </w:rPr>
        <w:lastRenderedPageBreak/>
        <w:t xml:space="preserve">Ergol. (Tokyo) </w:t>
      </w:r>
      <w:r w:rsidR="00AC308A" w:rsidRPr="00BD29FF">
        <w:rPr>
          <w:rFonts w:ascii="Times New Roman" w:hAnsi="Times New Roman" w:cs="Times New Roman"/>
          <w:b/>
          <w:noProof/>
          <w:sz w:val="20"/>
        </w:rPr>
        <w:t>40</w:t>
      </w:r>
      <w:r w:rsidR="00AC308A" w:rsidRPr="00BD29FF">
        <w:rPr>
          <w:rFonts w:ascii="Times New Roman" w:hAnsi="Times New Roman" w:cs="Times New Roman"/>
          <w:noProof/>
          <w:sz w:val="20"/>
        </w:rPr>
        <w:t>, pp. 19–36 (2011)</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[15]</w:t>
      </w:r>
      <w:r w:rsidRPr="00BD29FF">
        <w:rPr>
          <w:rFonts w:ascii="Times New Roman" w:hAnsi="Times New Roman" w:cs="Times New Roman"/>
          <w:noProof/>
          <w:sz w:val="20"/>
        </w:rPr>
        <w:tab/>
        <w:t xml:space="preserve">Y. Rodríguez, S. Viña, R. Montero, “A Method for Non-experts in Assessing Exposure to Risk Factors for Work-related Musculoskeletal Disorders — ERIN,” Industrial Health </w:t>
      </w:r>
      <w:r w:rsidRPr="00BD29FF">
        <w:rPr>
          <w:rFonts w:ascii="Times New Roman" w:hAnsi="Times New Roman" w:cs="Times New Roman"/>
          <w:b/>
          <w:noProof/>
          <w:sz w:val="20"/>
        </w:rPr>
        <w:t>51</w:t>
      </w:r>
      <w:r w:rsidR="003C5D73" w:rsidRPr="00BD29FF">
        <w:rPr>
          <w:rFonts w:ascii="Times New Roman" w:hAnsi="Times New Roman" w:cs="Times New Roman"/>
          <w:noProof/>
          <w:sz w:val="20"/>
        </w:rPr>
        <w:t>, pp. 622–626 (2013)</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[16]</w:t>
      </w:r>
      <w:r w:rsidRPr="00BD29FF">
        <w:rPr>
          <w:rFonts w:ascii="Times New Roman" w:hAnsi="Times New Roman" w:cs="Times New Roman"/>
          <w:noProof/>
          <w:sz w:val="20"/>
        </w:rPr>
        <w:tab/>
        <w:t>J. C. Nunnally, I. H. Bernstein, "Psychometric Theory.” McGraw-Hill, New York (1994)</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[17]</w:t>
      </w:r>
      <w:r w:rsidRPr="00BD29FF">
        <w:rPr>
          <w:rFonts w:ascii="Times New Roman" w:hAnsi="Times New Roman" w:cs="Times New Roman"/>
          <w:noProof/>
          <w:sz w:val="20"/>
        </w:rPr>
        <w:tab/>
        <w:t xml:space="preserve">I. De Bruijn, J. A. Engels, J. W. J. Van Der Gulden, “A simple method to evaluate the reliability of OWAS observations,” Appl. Ergon </w:t>
      </w:r>
      <w:r w:rsidRPr="00BD29FF">
        <w:rPr>
          <w:rFonts w:ascii="Times New Roman" w:hAnsi="Times New Roman" w:cs="Times New Roman"/>
          <w:b/>
          <w:noProof/>
          <w:sz w:val="20"/>
        </w:rPr>
        <w:t>29</w:t>
      </w:r>
      <w:r w:rsidRPr="00BD29FF">
        <w:rPr>
          <w:rFonts w:ascii="Times New Roman" w:hAnsi="Times New Roman" w:cs="Times New Roman"/>
          <w:noProof/>
          <w:sz w:val="20"/>
        </w:rPr>
        <w:t>, 4, pp. 281–283 (1998)</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[18]</w:t>
      </w:r>
      <w:r w:rsidRPr="00BD29FF">
        <w:rPr>
          <w:rFonts w:ascii="Times New Roman" w:hAnsi="Times New Roman" w:cs="Times New Roman"/>
          <w:noProof/>
          <w:sz w:val="20"/>
        </w:rPr>
        <w:tab/>
        <w:t>U. Sekaran, Research Methods For Business: A Skill Building Approach, 4Th Ed. Wiley India Pvt. Limited (2006)</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[19]</w:t>
      </w:r>
      <w:r w:rsidRPr="00BD29FF">
        <w:rPr>
          <w:rFonts w:ascii="Times New Roman" w:hAnsi="Times New Roman" w:cs="Times New Roman"/>
          <w:noProof/>
          <w:sz w:val="20"/>
        </w:rPr>
        <w:tab/>
        <w:t xml:space="preserve">J. Park, J. Boyer, J. Tessler, G. Perez, L. Punnett, “Exposure assessment of musculoskeletal disorder risk factors in hospital work : Inter-rater reliability of PATH observations,” In Proceedings of the Human Factors and Ergonomics Society Annual Meeting </w:t>
      </w:r>
      <w:r w:rsidRPr="00BD29FF">
        <w:rPr>
          <w:rFonts w:ascii="Times New Roman" w:hAnsi="Times New Roman" w:cs="Times New Roman"/>
          <w:b/>
          <w:noProof/>
          <w:sz w:val="20"/>
        </w:rPr>
        <w:t>49</w:t>
      </w:r>
      <w:r w:rsidRPr="00BD29FF">
        <w:rPr>
          <w:rFonts w:ascii="Times New Roman" w:hAnsi="Times New Roman" w:cs="Times New Roman"/>
          <w:noProof/>
          <w:sz w:val="20"/>
        </w:rPr>
        <w:t>, 14,pp. 1385–1389 (2005)</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[20]</w:t>
      </w:r>
      <w:r w:rsidRPr="00BD29FF">
        <w:rPr>
          <w:rFonts w:ascii="Times New Roman" w:hAnsi="Times New Roman" w:cs="Times New Roman"/>
          <w:noProof/>
          <w:sz w:val="20"/>
        </w:rPr>
        <w:tab/>
        <w:t>D. L. Streiner, G. R. Norman, J. Cairney, Health measurement scales: a practical guide to their development and use. Oxford University Press, USA (2014)</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[21]</w:t>
      </w:r>
      <w:r w:rsidRPr="00BD29FF">
        <w:rPr>
          <w:rFonts w:ascii="Times New Roman" w:hAnsi="Times New Roman" w:cs="Times New Roman"/>
          <w:noProof/>
          <w:sz w:val="20"/>
        </w:rPr>
        <w:tab/>
        <w:t xml:space="preserve">S. Burt, L. Punnett, “Evaluation of interrater reliability for posture observations in a field study,” Appl. Ergon </w:t>
      </w:r>
      <w:r w:rsidRPr="00BD29FF">
        <w:rPr>
          <w:rFonts w:ascii="Times New Roman" w:hAnsi="Times New Roman" w:cs="Times New Roman"/>
          <w:b/>
          <w:noProof/>
          <w:sz w:val="20"/>
        </w:rPr>
        <w:t>30</w:t>
      </w:r>
      <w:r w:rsidRPr="00BD29FF">
        <w:rPr>
          <w:rFonts w:ascii="Times New Roman" w:hAnsi="Times New Roman" w:cs="Times New Roman"/>
          <w:noProof/>
          <w:sz w:val="20"/>
        </w:rPr>
        <w:t>, 2, pp 121-135 (1999)</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[22]</w:t>
      </w:r>
      <w:r w:rsidRPr="00BD29FF">
        <w:rPr>
          <w:rFonts w:ascii="Times New Roman" w:hAnsi="Times New Roman" w:cs="Times New Roman"/>
          <w:noProof/>
          <w:sz w:val="20"/>
        </w:rPr>
        <w:tab/>
        <w:t>D. G. Altman, Practical statistics for medical research. CRC press (1990)</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[23]</w:t>
      </w:r>
      <w:r w:rsidRPr="00BD29FF">
        <w:rPr>
          <w:rFonts w:ascii="Times New Roman" w:hAnsi="Times New Roman" w:cs="Times New Roman"/>
          <w:noProof/>
          <w:sz w:val="20"/>
        </w:rPr>
        <w:tab/>
        <w:t xml:space="preserve">A. J. Viera, J. M. Garrett, “Understanding Interobserver Agreement : The Kappa Statistic,”  Fam Med </w:t>
      </w:r>
      <w:r w:rsidRPr="00BD29FF">
        <w:rPr>
          <w:rFonts w:ascii="Times New Roman" w:hAnsi="Times New Roman" w:cs="Times New Roman"/>
          <w:b/>
          <w:noProof/>
          <w:sz w:val="20"/>
        </w:rPr>
        <w:t>37</w:t>
      </w:r>
      <w:r w:rsidRPr="00BD29FF">
        <w:rPr>
          <w:rFonts w:ascii="Times New Roman" w:hAnsi="Times New Roman" w:cs="Times New Roman"/>
          <w:noProof/>
          <w:sz w:val="20"/>
        </w:rPr>
        <w:t>, 5, pp. 360–363 (2005)</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r w:rsidRPr="00BD29FF">
        <w:rPr>
          <w:rFonts w:ascii="Times New Roman" w:hAnsi="Times New Roman" w:cs="Times New Roman"/>
          <w:noProof/>
          <w:sz w:val="20"/>
        </w:rPr>
        <w:t>[24]</w:t>
      </w:r>
      <w:r w:rsidRPr="00BD29FF">
        <w:rPr>
          <w:rFonts w:ascii="Times New Roman" w:hAnsi="Times New Roman" w:cs="Times New Roman"/>
          <w:noProof/>
          <w:sz w:val="20"/>
        </w:rPr>
        <w:tab/>
        <w:t xml:space="preserve">P. Coenen, “Inter-rater reliability of a video-analysis method measuring low-back load in a field situation,” Appl. Ergon </w:t>
      </w:r>
      <w:r w:rsidRPr="00BD29FF">
        <w:rPr>
          <w:rFonts w:ascii="Times New Roman" w:hAnsi="Times New Roman" w:cs="Times New Roman"/>
          <w:b/>
          <w:noProof/>
          <w:sz w:val="20"/>
        </w:rPr>
        <w:t>44</w:t>
      </w:r>
      <w:r w:rsidRPr="00BD29FF">
        <w:rPr>
          <w:rFonts w:ascii="Times New Roman" w:hAnsi="Times New Roman" w:cs="Times New Roman"/>
          <w:noProof/>
          <w:sz w:val="20"/>
        </w:rPr>
        <w:t>, 5, pp. 828–834 (2013)</w:t>
      </w:r>
    </w:p>
    <w:p w:rsidR="00AC308A" w:rsidRPr="00BD29FF" w:rsidRDefault="00AC308A" w:rsidP="00AC308A">
      <w:pPr>
        <w:widowControl w:val="0"/>
        <w:autoSpaceDE w:val="0"/>
        <w:autoSpaceDN w:val="0"/>
        <w:adjustRightInd w:val="0"/>
        <w:ind w:left="640" w:hanging="640"/>
        <w:jc w:val="both"/>
        <w:rPr>
          <w:rFonts w:ascii="Times New Roman" w:hAnsi="Times New Roman" w:cs="Times New Roman"/>
          <w:noProof/>
          <w:sz w:val="20"/>
        </w:rPr>
      </w:pPr>
    </w:p>
    <w:p w:rsidR="008039EA" w:rsidRPr="00A568E8" w:rsidRDefault="00BF374D" w:rsidP="00AC308A">
      <w:pPr>
        <w:jc w:val="both"/>
        <w:rPr>
          <w:rFonts w:ascii="Arial" w:hAnsi="Arial" w:cs="Arial"/>
          <w:b/>
          <w:szCs w:val="24"/>
        </w:rPr>
      </w:pPr>
      <w:r w:rsidRPr="00BD29FF">
        <w:rPr>
          <w:rFonts w:ascii="Times New Roman" w:hAnsi="Times New Roman" w:cs="Times New Roman"/>
          <w:b/>
          <w:sz w:val="20"/>
        </w:rPr>
        <w:fldChar w:fldCharType="end"/>
      </w:r>
    </w:p>
    <w:sectPr w:rsidR="008039EA" w:rsidRPr="00A568E8" w:rsidSect="008E2D34">
      <w:footerReference w:type="first" r:id="rId8"/>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2D0" w:rsidRDefault="00FB62D0">
      <w:r>
        <w:separator/>
      </w:r>
    </w:p>
  </w:endnote>
  <w:endnote w:type="continuationSeparator" w:id="1">
    <w:p w:rsidR="00FB62D0" w:rsidRDefault="00FB6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itstream Vera Sans">
    <w:charset w:val="00"/>
    <w:family w:val="auto"/>
    <w:pitch w:val="variable"/>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FAB" w:rsidRPr="000A0FAB" w:rsidRDefault="007A1FAB" w:rsidP="003C2145">
    <w:pPr>
      <w:spacing w:before="240"/>
      <w:jc w:val="both"/>
      <w:rPr>
        <w:rFonts w:ascii="Times New Roman" w:hAnsi="Times New Roman"/>
        <w:sz w:val="16"/>
        <w:szCs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2D0" w:rsidRDefault="00FB62D0">
      <w:r>
        <w:separator/>
      </w:r>
    </w:p>
  </w:footnote>
  <w:footnote w:type="continuationSeparator" w:id="1">
    <w:p w:rsidR="00FB62D0" w:rsidRDefault="00FB62D0">
      <w:r>
        <w:continuationSeparator/>
      </w:r>
    </w:p>
  </w:footnote>
  <w:footnote w:id="2">
    <w:p w:rsidR="007A1FAB" w:rsidRPr="00705FC3" w:rsidRDefault="007A1FAB">
      <w:pPr>
        <w:pStyle w:val="FootnoteText"/>
        <w:rPr>
          <w:rFonts w:ascii="Times New Roman" w:hAnsi="Times New Roman" w:cs="Times New Roman"/>
        </w:rPr>
      </w:pPr>
      <w:r>
        <w:rPr>
          <w:rStyle w:val="FootnoteReference"/>
        </w:rPr>
        <w:footnoteRef/>
      </w:r>
      <w:r w:rsidRPr="000A0FAB">
        <w:rPr>
          <w:rFonts w:ascii="Times New Roman" w:hAnsi="Times New Roman" w:cs="Times New Roman"/>
          <w:sz w:val="18"/>
          <w:szCs w:val="18"/>
        </w:rPr>
        <w:t>Corresponding</w:t>
      </w:r>
      <w:r w:rsidR="003A221C">
        <w:rPr>
          <w:rFonts w:ascii="Times New Roman" w:hAnsi="Times New Roman" w:cs="Times New Roman"/>
          <w:sz w:val="18"/>
          <w:szCs w:val="18"/>
        </w:rPr>
        <w:t xml:space="preserve"> </w:t>
      </w:r>
      <w:r w:rsidRPr="000A0FAB">
        <w:rPr>
          <w:rFonts w:ascii="Times New Roman" w:hAnsi="Times New Roman" w:cs="Times New Roman"/>
          <w:sz w:val="18"/>
          <w:szCs w:val="18"/>
        </w:rPr>
        <w:t xml:space="preserve">author: </w:t>
      </w:r>
      <w:hyperlink r:id="rId1" w:history="1">
        <w:r w:rsidRPr="00F3415E">
          <w:rPr>
            <w:rStyle w:val="Hyperlink"/>
            <w:rFonts w:ascii="Times New Roman" w:hAnsi="Times New Roman" w:cs="Times New Roman"/>
            <w:sz w:val="18"/>
            <w:szCs w:val="18"/>
          </w:rPr>
          <w:t>mnasrull@uthm.edu.my</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1D45B51"/>
    <w:multiLevelType w:val="hybridMultilevel"/>
    <w:tmpl w:val="637C15D4"/>
    <w:lvl w:ilvl="0" w:tplc="44090015">
      <w:start w:val="1"/>
      <w:numFmt w:val="upperLetter"/>
      <w:lvlText w:val="%1."/>
      <w:lvlJc w:val="left"/>
      <w:pPr>
        <w:ind w:left="2204"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3F01"/>
  <w:doNotTrackMoves/>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5122"/>
  </w:hdrShapeDefaults>
  <w:footnotePr>
    <w:numFmt w:val="chicago"/>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155F"/>
    <w:rsid w:val="0004497B"/>
    <w:rsid w:val="000972D6"/>
    <w:rsid w:val="000A0FAB"/>
    <w:rsid w:val="000D1007"/>
    <w:rsid w:val="000E4989"/>
    <w:rsid w:val="001012FA"/>
    <w:rsid w:val="00107CF2"/>
    <w:rsid w:val="00161411"/>
    <w:rsid w:val="001629AC"/>
    <w:rsid w:val="00166172"/>
    <w:rsid w:val="00170C0C"/>
    <w:rsid w:val="00180674"/>
    <w:rsid w:val="001831C7"/>
    <w:rsid w:val="0018487E"/>
    <w:rsid w:val="0019318D"/>
    <w:rsid w:val="001950C8"/>
    <w:rsid w:val="001A6897"/>
    <w:rsid w:val="001B5C21"/>
    <w:rsid w:val="001F29ED"/>
    <w:rsid w:val="00207DA4"/>
    <w:rsid w:val="00226748"/>
    <w:rsid w:val="00231CAD"/>
    <w:rsid w:val="00255C10"/>
    <w:rsid w:val="002562F0"/>
    <w:rsid w:val="00256A72"/>
    <w:rsid w:val="00260B0A"/>
    <w:rsid w:val="00287462"/>
    <w:rsid w:val="0029155F"/>
    <w:rsid w:val="00291934"/>
    <w:rsid w:val="00293B7C"/>
    <w:rsid w:val="002A50BB"/>
    <w:rsid w:val="002B0149"/>
    <w:rsid w:val="002B5EE3"/>
    <w:rsid w:val="002D7B87"/>
    <w:rsid w:val="002F3A7D"/>
    <w:rsid w:val="00335E44"/>
    <w:rsid w:val="0038445F"/>
    <w:rsid w:val="0038735C"/>
    <w:rsid w:val="00390532"/>
    <w:rsid w:val="003975FB"/>
    <w:rsid w:val="003A221C"/>
    <w:rsid w:val="003A449D"/>
    <w:rsid w:val="003A6777"/>
    <w:rsid w:val="003C2145"/>
    <w:rsid w:val="003C5D73"/>
    <w:rsid w:val="003D4AE7"/>
    <w:rsid w:val="003E06B2"/>
    <w:rsid w:val="003E65E7"/>
    <w:rsid w:val="003E7307"/>
    <w:rsid w:val="00420A29"/>
    <w:rsid w:val="00452E67"/>
    <w:rsid w:val="004568DC"/>
    <w:rsid w:val="0046665C"/>
    <w:rsid w:val="00471F34"/>
    <w:rsid w:val="004836F5"/>
    <w:rsid w:val="00483F49"/>
    <w:rsid w:val="004C62FB"/>
    <w:rsid w:val="004E2295"/>
    <w:rsid w:val="004E474F"/>
    <w:rsid w:val="004F4A5E"/>
    <w:rsid w:val="004F7194"/>
    <w:rsid w:val="00510393"/>
    <w:rsid w:val="005173A8"/>
    <w:rsid w:val="00537E89"/>
    <w:rsid w:val="00547B19"/>
    <w:rsid w:val="005729C2"/>
    <w:rsid w:val="00586096"/>
    <w:rsid w:val="005A4935"/>
    <w:rsid w:val="005B73CB"/>
    <w:rsid w:val="005C3A17"/>
    <w:rsid w:val="005C62E6"/>
    <w:rsid w:val="005D7655"/>
    <w:rsid w:val="00600F80"/>
    <w:rsid w:val="0060390D"/>
    <w:rsid w:val="00672948"/>
    <w:rsid w:val="00680209"/>
    <w:rsid w:val="00680716"/>
    <w:rsid w:val="00680DD6"/>
    <w:rsid w:val="00694711"/>
    <w:rsid w:val="006A5A4E"/>
    <w:rsid w:val="006C3C3C"/>
    <w:rsid w:val="006E4E52"/>
    <w:rsid w:val="006F413D"/>
    <w:rsid w:val="00705FC3"/>
    <w:rsid w:val="00733B64"/>
    <w:rsid w:val="00757AC0"/>
    <w:rsid w:val="00762CF1"/>
    <w:rsid w:val="00765B30"/>
    <w:rsid w:val="007719FE"/>
    <w:rsid w:val="007877C1"/>
    <w:rsid w:val="007A1FAB"/>
    <w:rsid w:val="007B79E4"/>
    <w:rsid w:val="007F172A"/>
    <w:rsid w:val="008039EA"/>
    <w:rsid w:val="00826219"/>
    <w:rsid w:val="00826250"/>
    <w:rsid w:val="0083466D"/>
    <w:rsid w:val="00851B46"/>
    <w:rsid w:val="0085246D"/>
    <w:rsid w:val="00883C17"/>
    <w:rsid w:val="00892772"/>
    <w:rsid w:val="008A1357"/>
    <w:rsid w:val="008B09DD"/>
    <w:rsid w:val="008B39BC"/>
    <w:rsid w:val="008D0D63"/>
    <w:rsid w:val="008D1EDC"/>
    <w:rsid w:val="008E2D34"/>
    <w:rsid w:val="008E5AE4"/>
    <w:rsid w:val="00914C5C"/>
    <w:rsid w:val="00914EE3"/>
    <w:rsid w:val="009150F4"/>
    <w:rsid w:val="009167B7"/>
    <w:rsid w:val="00920AD8"/>
    <w:rsid w:val="009236FF"/>
    <w:rsid w:val="00940E7D"/>
    <w:rsid w:val="00941802"/>
    <w:rsid w:val="00957228"/>
    <w:rsid w:val="00961111"/>
    <w:rsid w:val="00967D66"/>
    <w:rsid w:val="00984EE6"/>
    <w:rsid w:val="00985719"/>
    <w:rsid w:val="009A4500"/>
    <w:rsid w:val="009C3AF2"/>
    <w:rsid w:val="009F5DA9"/>
    <w:rsid w:val="00A2670B"/>
    <w:rsid w:val="00A3071E"/>
    <w:rsid w:val="00A30EC2"/>
    <w:rsid w:val="00A356E6"/>
    <w:rsid w:val="00A568E8"/>
    <w:rsid w:val="00AA4651"/>
    <w:rsid w:val="00AA47C2"/>
    <w:rsid w:val="00AA70A4"/>
    <w:rsid w:val="00AB512B"/>
    <w:rsid w:val="00AC308A"/>
    <w:rsid w:val="00AD4414"/>
    <w:rsid w:val="00AE42BB"/>
    <w:rsid w:val="00B036D9"/>
    <w:rsid w:val="00B10A74"/>
    <w:rsid w:val="00B40D4F"/>
    <w:rsid w:val="00B603A0"/>
    <w:rsid w:val="00BB3C8C"/>
    <w:rsid w:val="00BD29FF"/>
    <w:rsid w:val="00BE1A65"/>
    <w:rsid w:val="00BE65F6"/>
    <w:rsid w:val="00BF374D"/>
    <w:rsid w:val="00C1142B"/>
    <w:rsid w:val="00C21D70"/>
    <w:rsid w:val="00C609EF"/>
    <w:rsid w:val="00C6237F"/>
    <w:rsid w:val="00C6506D"/>
    <w:rsid w:val="00C83DD6"/>
    <w:rsid w:val="00CA0E9A"/>
    <w:rsid w:val="00CA4E68"/>
    <w:rsid w:val="00CE2F42"/>
    <w:rsid w:val="00D21A82"/>
    <w:rsid w:val="00D31B33"/>
    <w:rsid w:val="00D52043"/>
    <w:rsid w:val="00D55A32"/>
    <w:rsid w:val="00D62DE0"/>
    <w:rsid w:val="00D660F7"/>
    <w:rsid w:val="00D7756C"/>
    <w:rsid w:val="00DB3B4E"/>
    <w:rsid w:val="00DC186C"/>
    <w:rsid w:val="00DE6C67"/>
    <w:rsid w:val="00DF69E4"/>
    <w:rsid w:val="00DF7C92"/>
    <w:rsid w:val="00E11D7B"/>
    <w:rsid w:val="00E21346"/>
    <w:rsid w:val="00E24AC0"/>
    <w:rsid w:val="00E31222"/>
    <w:rsid w:val="00E40E2C"/>
    <w:rsid w:val="00E5477F"/>
    <w:rsid w:val="00E5712F"/>
    <w:rsid w:val="00E64695"/>
    <w:rsid w:val="00E72D69"/>
    <w:rsid w:val="00E765B0"/>
    <w:rsid w:val="00EA65AA"/>
    <w:rsid w:val="00EB5AA0"/>
    <w:rsid w:val="00ED07C1"/>
    <w:rsid w:val="00EE4379"/>
    <w:rsid w:val="00F01A35"/>
    <w:rsid w:val="00F213B6"/>
    <w:rsid w:val="00F24848"/>
    <w:rsid w:val="00F32088"/>
    <w:rsid w:val="00F325B7"/>
    <w:rsid w:val="00F41821"/>
    <w:rsid w:val="00FA141B"/>
    <w:rsid w:val="00FB62D0"/>
    <w:rsid w:val="00FC40C2"/>
    <w:rsid w:val="00FE27EB"/>
    <w:rsid w:val="00FE6E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6D9"/>
    <w:pPr>
      <w:suppressAutoHyphens/>
    </w:pPr>
    <w:rPr>
      <w:rFonts w:ascii="New York" w:hAnsi="New York" w:cs="New York"/>
      <w:sz w:val="24"/>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PageNumber">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EndnoteReference">
    <w:name w:val="endnote reference"/>
    <w:semiHidden/>
    <w:rsid w:val="00B036D9"/>
    <w:rPr>
      <w:vertAlign w:val="superscript"/>
    </w:rPr>
  </w:style>
  <w:style w:type="paragraph" w:customStyle="1" w:styleId="Heading">
    <w:name w:val="Heading"/>
    <w:basedOn w:val="Normal"/>
    <w:next w:val="BodyText"/>
    <w:rsid w:val="00B036D9"/>
    <w:pPr>
      <w:keepNext/>
      <w:spacing w:before="240" w:after="120"/>
    </w:pPr>
    <w:rPr>
      <w:rFonts w:ascii="Arial" w:eastAsia="Bitstream Vera Sans" w:hAnsi="Arial" w:cs="Bitstream Vera Sans"/>
      <w:sz w:val="28"/>
      <w:szCs w:val="28"/>
    </w:rPr>
  </w:style>
  <w:style w:type="paragraph" w:styleId="BodyText">
    <w:name w:val="Body Text"/>
    <w:basedOn w:val="Normal"/>
    <w:rsid w:val="00B036D9"/>
    <w:pPr>
      <w:jc w:val="both"/>
    </w:pPr>
    <w:rPr>
      <w:rFonts w:ascii="Times" w:hAnsi="Times"/>
      <w:sz w:val="20"/>
      <w:lang w:val="en-GB"/>
    </w:rPr>
  </w:style>
  <w:style w:type="paragraph" w:styleId="List">
    <w:name w:val="List"/>
    <w:basedOn w:val="BodyText"/>
    <w:rsid w:val="00B036D9"/>
  </w:style>
  <w:style w:type="paragraph" w:customStyle="1" w:styleId="Caption1">
    <w:name w:val="Caption1"/>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Footer">
    <w:name w:val="footer"/>
    <w:basedOn w:val="Normal"/>
    <w:link w:val="FooterChar"/>
    <w:uiPriority w:val="99"/>
    <w:rsid w:val="00B036D9"/>
  </w:style>
  <w:style w:type="paragraph" w:styleId="FootnoteText">
    <w:name w:val="footnote text"/>
    <w:basedOn w:val="Normal"/>
    <w:semiHidden/>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Header">
    <w:name w:val="header"/>
    <w:basedOn w:val="Normal"/>
    <w:rsid w:val="00B036D9"/>
  </w:style>
  <w:style w:type="paragraph" w:styleId="BalloonText">
    <w:name w:val="Balloon Text"/>
    <w:basedOn w:val="Normal"/>
    <w:rsid w:val="00B036D9"/>
    <w:rPr>
      <w:rFonts w:ascii="Tahoma" w:hAnsi="Tahoma" w:cs="Tahoma"/>
      <w:sz w:val="16"/>
      <w:szCs w:val="16"/>
    </w:rPr>
  </w:style>
  <w:style w:type="paragraph" w:styleId="ListParagraph">
    <w:name w:val="List Paragraph"/>
    <w:basedOn w:val="Normal"/>
    <w:uiPriority w:val="34"/>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Strong">
    <w:name w:val="Strong"/>
    <w:uiPriority w:val="22"/>
    <w:qFormat/>
    <w:rsid w:val="005C62E6"/>
    <w:rPr>
      <w:b/>
      <w:bCs/>
    </w:rPr>
  </w:style>
  <w:style w:type="character" w:styleId="Hyperlink">
    <w:name w:val="Hyperlink"/>
    <w:rsid w:val="004C62FB"/>
    <w:rPr>
      <w:color w:val="0000FF"/>
      <w:u w:val="single"/>
    </w:rPr>
  </w:style>
  <w:style w:type="character" w:customStyle="1" w:styleId="FooterChar">
    <w:name w:val="Footer Char"/>
    <w:link w:val="Footer"/>
    <w:uiPriority w:val="99"/>
    <w:rsid w:val="007719FE"/>
    <w:rPr>
      <w:rFonts w:ascii="New York" w:hAnsi="New York" w:cs="New York"/>
      <w:sz w:val="24"/>
      <w:lang w:eastAsia="ar-SA"/>
    </w:rPr>
  </w:style>
  <w:style w:type="table" w:styleId="TableGrid">
    <w:name w:val="Table Grid"/>
    <w:basedOn w:val="TableNormal"/>
    <w:uiPriority w:val="39"/>
    <w:rsid w:val="00CE2F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nasrull@uth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40B24-3B1F-47C3-8B7A-8F82AA16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8</Pages>
  <Words>11069</Words>
  <Characters>63098</Characters>
  <Application>Microsoft Office Word</Application>
  <DocSecurity>0</DocSecurity>
  <Lines>525</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74019</CharactersWithSpaces>
  <SharedDoc>false</SharedDoc>
  <HLinks>
    <vt:vector size="6" baseType="variant">
      <vt:variant>
        <vt:i4>5505079</vt:i4>
      </vt:variant>
      <vt:variant>
        <vt:i4>0</vt:i4>
      </vt:variant>
      <vt:variant>
        <vt:i4>0</vt:i4>
      </vt:variant>
      <vt:variant>
        <vt:i4>5</vt:i4>
      </vt:variant>
      <vt:variant>
        <vt:lpwstr>mailto:mnasrull@uthm.edu.my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Houlbert</dc:creator>
  <cp:keywords/>
  <dc:description/>
  <cp:lastModifiedBy>user</cp:lastModifiedBy>
  <cp:revision>17</cp:revision>
  <cp:lastPrinted>2016-03-18T08:26:00Z</cp:lastPrinted>
  <dcterms:created xsi:type="dcterms:W3CDTF">2016-11-02T03:45:00Z</dcterms:created>
  <dcterms:modified xsi:type="dcterms:W3CDTF">2017-07-07T12:44:00Z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User Name_1">
    <vt:lpwstr>ggshahrul@gmail.com@www.mendeley.com</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