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CEB7E" w14:textId="50E092D9" w:rsidR="009D69BF" w:rsidRPr="00A42114" w:rsidRDefault="00271A7B" w:rsidP="00966D4D">
      <w:pPr>
        <w:pStyle w:val="Title"/>
      </w:pPr>
      <w:r>
        <w:t>Green density optimization of stainless steel powder via metal injection molding by Taguchi m</w:t>
      </w:r>
      <w:r w:rsidR="00A6163B" w:rsidRPr="00A42114">
        <w:t xml:space="preserve">ethod </w:t>
      </w:r>
    </w:p>
    <w:p w14:paraId="0D831466" w14:textId="43A9698B" w:rsidR="009D69BF" w:rsidRPr="00A42114" w:rsidRDefault="00A42114" w:rsidP="00A42114">
      <w:pPr>
        <w:pStyle w:val="Authors"/>
        <w:ind w:left="0"/>
        <w:rPr>
          <w:b w:val="0"/>
          <w:sz w:val="20"/>
          <w:szCs w:val="20"/>
        </w:rPr>
      </w:pPr>
      <w:r>
        <w:rPr>
          <w:b w:val="0"/>
          <w:i/>
          <w:sz w:val="20"/>
          <w:szCs w:val="20"/>
        </w:rPr>
        <w:t>AM</w:t>
      </w:r>
      <w:r w:rsidR="00F3714C" w:rsidRPr="00A42114">
        <w:rPr>
          <w:b w:val="0"/>
          <w:sz w:val="20"/>
          <w:szCs w:val="20"/>
        </w:rPr>
        <w:t xml:space="preserve"> Amin</w:t>
      </w:r>
      <w:r w:rsidR="00F3714C" w:rsidRPr="00A42114">
        <w:rPr>
          <w:b w:val="0"/>
          <w:sz w:val="20"/>
          <w:szCs w:val="20"/>
          <w:vertAlign w:val="superscript"/>
        </w:rPr>
        <w:t>1</w:t>
      </w:r>
      <w:r w:rsidR="00FB70D7" w:rsidRPr="00A42114">
        <w:rPr>
          <w:b w:val="0"/>
          <w:sz w:val="20"/>
          <w:szCs w:val="20"/>
        </w:rPr>
        <w:t xml:space="preserve">, </w:t>
      </w:r>
      <w:r w:rsidRPr="00A42114">
        <w:rPr>
          <w:b w:val="0"/>
          <w:i/>
          <w:sz w:val="20"/>
          <w:szCs w:val="20"/>
        </w:rPr>
        <w:t>MHI</w:t>
      </w:r>
      <w:r w:rsidR="00F3714C" w:rsidRPr="00A42114">
        <w:rPr>
          <w:b w:val="0"/>
          <w:sz w:val="20"/>
          <w:szCs w:val="20"/>
        </w:rPr>
        <w:t xml:space="preserve"> Ibrahim</w:t>
      </w:r>
      <w:r w:rsidR="00F3714C" w:rsidRPr="00A42114">
        <w:rPr>
          <w:b w:val="0"/>
          <w:sz w:val="20"/>
          <w:szCs w:val="20"/>
          <w:vertAlign w:val="superscript"/>
        </w:rPr>
        <w:t>1</w:t>
      </w:r>
      <w:r w:rsidR="00F3714C" w:rsidRPr="00A42114">
        <w:rPr>
          <w:b w:val="0"/>
          <w:sz w:val="20"/>
          <w:szCs w:val="20"/>
        </w:rPr>
        <w:t xml:space="preserve">, </w:t>
      </w:r>
      <w:r w:rsidR="00BD4AA5" w:rsidRPr="00A42114">
        <w:rPr>
          <w:b w:val="0"/>
          <w:i/>
          <w:sz w:val="20"/>
          <w:szCs w:val="20"/>
        </w:rPr>
        <w:t>MY</w:t>
      </w:r>
      <w:r w:rsidR="00BD4AA5" w:rsidRPr="00A42114">
        <w:rPr>
          <w:b w:val="0"/>
          <w:sz w:val="20"/>
          <w:szCs w:val="20"/>
        </w:rPr>
        <w:t xml:space="preserve"> Hashim</w:t>
      </w:r>
      <w:r w:rsidR="00BD4AA5" w:rsidRPr="00A42114">
        <w:rPr>
          <w:b w:val="0"/>
          <w:sz w:val="20"/>
          <w:szCs w:val="20"/>
          <w:vertAlign w:val="superscript"/>
        </w:rPr>
        <w:t>3</w:t>
      </w:r>
      <w:r w:rsidR="00BD4AA5" w:rsidRPr="00A42114">
        <w:rPr>
          <w:b w:val="0"/>
          <w:sz w:val="20"/>
          <w:szCs w:val="20"/>
        </w:rPr>
        <w:t xml:space="preserve">, </w:t>
      </w:r>
      <w:r w:rsidR="00FB70D7" w:rsidRPr="00A42114">
        <w:rPr>
          <w:b w:val="0"/>
          <w:i/>
          <w:sz w:val="20"/>
          <w:szCs w:val="20"/>
        </w:rPr>
        <w:t>OMF</w:t>
      </w:r>
      <w:r w:rsidR="00FB70D7" w:rsidRPr="00A42114">
        <w:rPr>
          <w:b w:val="0"/>
          <w:sz w:val="20"/>
          <w:szCs w:val="20"/>
        </w:rPr>
        <w:t xml:space="preserve"> Marwah</w:t>
      </w:r>
      <w:r w:rsidR="00961DF6" w:rsidRPr="00A42114">
        <w:rPr>
          <w:b w:val="0"/>
          <w:sz w:val="20"/>
          <w:szCs w:val="20"/>
          <w:vertAlign w:val="superscript"/>
        </w:rPr>
        <w:t>2</w:t>
      </w:r>
      <w:r w:rsidR="00FB70D7" w:rsidRPr="00A42114">
        <w:rPr>
          <w:b w:val="0"/>
          <w:sz w:val="20"/>
          <w:szCs w:val="20"/>
        </w:rPr>
        <w:t>,</w:t>
      </w:r>
      <w:r w:rsidR="0025536A" w:rsidRPr="00A42114">
        <w:rPr>
          <w:b w:val="0"/>
          <w:sz w:val="20"/>
          <w:szCs w:val="20"/>
        </w:rPr>
        <w:t xml:space="preserve"> </w:t>
      </w:r>
      <w:r w:rsidR="00FB70D7" w:rsidRPr="00A42114">
        <w:rPr>
          <w:b w:val="0"/>
          <w:i/>
          <w:sz w:val="20"/>
          <w:szCs w:val="20"/>
        </w:rPr>
        <w:t>MH</w:t>
      </w:r>
      <w:r w:rsidR="00FB70D7" w:rsidRPr="00A42114">
        <w:rPr>
          <w:b w:val="0"/>
          <w:sz w:val="20"/>
          <w:szCs w:val="20"/>
        </w:rPr>
        <w:t xml:space="preserve"> Othman</w:t>
      </w:r>
      <w:r w:rsidR="00961DF6" w:rsidRPr="00A42114">
        <w:rPr>
          <w:b w:val="0"/>
          <w:sz w:val="20"/>
          <w:szCs w:val="20"/>
          <w:vertAlign w:val="superscript"/>
        </w:rPr>
        <w:t>3</w:t>
      </w:r>
      <w:r w:rsidR="00FB70D7" w:rsidRPr="00A42114">
        <w:rPr>
          <w:b w:val="0"/>
          <w:sz w:val="20"/>
          <w:szCs w:val="20"/>
        </w:rPr>
        <w:t xml:space="preserve">, </w:t>
      </w:r>
      <w:r w:rsidR="00FB70D7" w:rsidRPr="00A42114">
        <w:rPr>
          <w:b w:val="0"/>
          <w:i/>
          <w:sz w:val="20"/>
          <w:szCs w:val="20"/>
        </w:rPr>
        <w:t>M</w:t>
      </w:r>
      <w:r w:rsidR="0025536A" w:rsidRPr="00A42114">
        <w:rPr>
          <w:b w:val="0"/>
          <w:i/>
          <w:sz w:val="20"/>
          <w:szCs w:val="20"/>
        </w:rPr>
        <w:t>u</w:t>
      </w:r>
      <w:r w:rsidR="006F3481" w:rsidRPr="00A42114">
        <w:rPr>
          <w:b w:val="0"/>
          <w:i/>
          <w:sz w:val="20"/>
          <w:szCs w:val="20"/>
        </w:rPr>
        <w:t>h</w:t>
      </w:r>
      <w:r w:rsidR="0025536A" w:rsidRPr="00A42114">
        <w:rPr>
          <w:b w:val="0"/>
          <w:i/>
          <w:sz w:val="20"/>
          <w:szCs w:val="20"/>
        </w:rPr>
        <w:t xml:space="preserve">ammad </w:t>
      </w:r>
      <w:proofErr w:type="spellStart"/>
      <w:r w:rsidR="00FB70D7" w:rsidRPr="00A42114">
        <w:rPr>
          <w:b w:val="0"/>
          <w:i/>
          <w:sz w:val="20"/>
          <w:szCs w:val="20"/>
        </w:rPr>
        <w:t>A</w:t>
      </w:r>
      <w:r w:rsidR="0025536A" w:rsidRPr="00A42114">
        <w:rPr>
          <w:b w:val="0"/>
          <w:i/>
          <w:sz w:val="20"/>
          <w:szCs w:val="20"/>
        </w:rPr>
        <w:t>kmal</w:t>
      </w:r>
      <w:proofErr w:type="spellEnd"/>
      <w:r w:rsidR="00FB70D7" w:rsidRPr="00A42114">
        <w:rPr>
          <w:b w:val="0"/>
          <w:sz w:val="20"/>
          <w:szCs w:val="20"/>
        </w:rPr>
        <w:t xml:space="preserve"> Johar</w:t>
      </w:r>
      <w:r w:rsidR="00961DF6" w:rsidRPr="00A42114">
        <w:rPr>
          <w:b w:val="0"/>
          <w:sz w:val="20"/>
          <w:szCs w:val="20"/>
          <w:vertAlign w:val="superscript"/>
        </w:rPr>
        <w:t>2</w:t>
      </w:r>
      <w:r w:rsidR="00FB70D7" w:rsidRPr="00A42114">
        <w:rPr>
          <w:b w:val="0"/>
          <w:sz w:val="20"/>
          <w:szCs w:val="20"/>
        </w:rPr>
        <w:t xml:space="preserve">, </w:t>
      </w:r>
      <w:r w:rsidR="00FB70D7" w:rsidRPr="00A42114">
        <w:rPr>
          <w:b w:val="0"/>
          <w:i/>
          <w:sz w:val="20"/>
          <w:szCs w:val="20"/>
        </w:rPr>
        <w:t>CH</w:t>
      </w:r>
      <w:r w:rsidR="00FB70D7" w:rsidRPr="00A42114">
        <w:rPr>
          <w:b w:val="0"/>
          <w:sz w:val="20"/>
          <w:szCs w:val="20"/>
        </w:rPr>
        <w:t xml:space="preserve"> Ng</w:t>
      </w:r>
      <w:r w:rsidR="00961DF6" w:rsidRPr="00A42114">
        <w:rPr>
          <w:b w:val="0"/>
          <w:sz w:val="20"/>
          <w:szCs w:val="20"/>
          <w:vertAlign w:val="superscript"/>
        </w:rPr>
        <w:t>3</w:t>
      </w:r>
    </w:p>
    <w:p w14:paraId="7650E0C8" w14:textId="79E3C852" w:rsidR="006F3481" w:rsidRPr="00A42114" w:rsidRDefault="00F3714C" w:rsidP="00A42114">
      <w:pPr>
        <w:pStyle w:val="E-mail"/>
        <w:spacing w:after="0"/>
        <w:ind w:left="0"/>
        <w:rPr>
          <w:sz w:val="18"/>
          <w:szCs w:val="18"/>
        </w:rPr>
      </w:pPr>
      <w:r w:rsidRPr="00A42114">
        <w:rPr>
          <w:noProof w:val="0"/>
          <w:sz w:val="18"/>
          <w:szCs w:val="18"/>
          <w:vertAlign w:val="superscript"/>
          <w:lang w:val="en-GB"/>
        </w:rPr>
        <w:t>1</w:t>
      </w:r>
      <w:r w:rsidRPr="00A42114">
        <w:rPr>
          <w:noProof w:val="0"/>
          <w:sz w:val="18"/>
          <w:szCs w:val="18"/>
          <w:lang w:val="en-GB"/>
        </w:rPr>
        <w:t xml:space="preserve">Advanced Materials and Manufacturing Centre, </w:t>
      </w:r>
      <w:proofErr w:type="spellStart"/>
      <w:r w:rsidRPr="00A42114">
        <w:rPr>
          <w:noProof w:val="0"/>
          <w:sz w:val="18"/>
          <w:szCs w:val="18"/>
          <w:lang w:val="en-GB"/>
        </w:rPr>
        <w:t>Universiti</w:t>
      </w:r>
      <w:proofErr w:type="spellEnd"/>
      <w:r w:rsidRPr="00A42114">
        <w:rPr>
          <w:noProof w:val="0"/>
          <w:sz w:val="18"/>
          <w:szCs w:val="18"/>
          <w:lang w:val="en-GB"/>
        </w:rPr>
        <w:t xml:space="preserve"> </w:t>
      </w:r>
      <w:proofErr w:type="spellStart"/>
      <w:r w:rsidRPr="00A42114">
        <w:rPr>
          <w:noProof w:val="0"/>
          <w:sz w:val="18"/>
          <w:szCs w:val="18"/>
          <w:lang w:val="en-GB"/>
        </w:rPr>
        <w:t>Tun</w:t>
      </w:r>
      <w:proofErr w:type="spellEnd"/>
      <w:r w:rsidRPr="00A42114">
        <w:rPr>
          <w:noProof w:val="0"/>
          <w:sz w:val="18"/>
          <w:szCs w:val="18"/>
          <w:lang w:val="en-GB"/>
        </w:rPr>
        <w:t xml:space="preserve"> Hussein Onn Malaysia, 86400 </w:t>
      </w:r>
      <w:proofErr w:type="spellStart"/>
      <w:r w:rsidRPr="00A42114">
        <w:rPr>
          <w:noProof w:val="0"/>
          <w:sz w:val="18"/>
          <w:szCs w:val="18"/>
          <w:lang w:val="en-GB"/>
        </w:rPr>
        <w:t>Parit</w:t>
      </w:r>
      <w:proofErr w:type="spellEnd"/>
      <w:r w:rsidRPr="00A42114">
        <w:rPr>
          <w:noProof w:val="0"/>
          <w:sz w:val="18"/>
          <w:szCs w:val="18"/>
          <w:lang w:val="en-GB"/>
        </w:rPr>
        <w:t xml:space="preserve"> Raja, </w:t>
      </w:r>
      <w:proofErr w:type="spellStart"/>
      <w:r w:rsidRPr="00A42114">
        <w:rPr>
          <w:noProof w:val="0"/>
          <w:sz w:val="18"/>
          <w:szCs w:val="18"/>
          <w:lang w:val="en-GB"/>
        </w:rPr>
        <w:t>Batu</w:t>
      </w:r>
      <w:proofErr w:type="spellEnd"/>
      <w:r w:rsidRPr="00A42114">
        <w:rPr>
          <w:noProof w:val="0"/>
          <w:sz w:val="18"/>
          <w:szCs w:val="18"/>
          <w:lang w:val="en-GB"/>
        </w:rPr>
        <w:t xml:space="preserve"> </w:t>
      </w:r>
      <w:proofErr w:type="spellStart"/>
      <w:r w:rsidRPr="00A42114">
        <w:rPr>
          <w:noProof w:val="0"/>
          <w:sz w:val="18"/>
          <w:szCs w:val="18"/>
          <w:lang w:val="en-GB"/>
        </w:rPr>
        <w:t>Pahat</w:t>
      </w:r>
      <w:proofErr w:type="spellEnd"/>
      <w:r w:rsidRPr="00A42114">
        <w:rPr>
          <w:noProof w:val="0"/>
          <w:sz w:val="18"/>
          <w:szCs w:val="18"/>
          <w:lang w:val="en-GB"/>
        </w:rPr>
        <w:t>, Johor, Malaysia</w:t>
      </w:r>
    </w:p>
    <w:p w14:paraId="78B23570" w14:textId="4C76484A" w:rsidR="00CC4B18" w:rsidRPr="00A42114" w:rsidRDefault="006F3481" w:rsidP="00A42114">
      <w:pPr>
        <w:pStyle w:val="E-mail"/>
        <w:spacing w:after="0"/>
        <w:ind w:left="0"/>
        <w:rPr>
          <w:sz w:val="18"/>
          <w:szCs w:val="18"/>
        </w:rPr>
      </w:pPr>
      <w:r w:rsidRPr="00A42114">
        <w:rPr>
          <w:sz w:val="18"/>
          <w:szCs w:val="18"/>
          <w:vertAlign w:val="superscript"/>
        </w:rPr>
        <w:t>2</w:t>
      </w:r>
      <w:r w:rsidRPr="00A42114">
        <w:rPr>
          <w:sz w:val="18"/>
          <w:szCs w:val="18"/>
        </w:rPr>
        <w:t>Additive Manufacturing Research Group</w:t>
      </w:r>
      <w:r w:rsidRPr="00A42114">
        <w:rPr>
          <w:noProof w:val="0"/>
          <w:sz w:val="18"/>
          <w:szCs w:val="18"/>
          <w:lang w:val="en-GB"/>
        </w:rPr>
        <w:t xml:space="preserve">, </w:t>
      </w:r>
      <w:proofErr w:type="spellStart"/>
      <w:r w:rsidRPr="00A42114">
        <w:rPr>
          <w:noProof w:val="0"/>
          <w:sz w:val="18"/>
          <w:szCs w:val="18"/>
          <w:lang w:val="en-GB"/>
        </w:rPr>
        <w:t>Universiti</w:t>
      </w:r>
      <w:proofErr w:type="spellEnd"/>
      <w:r w:rsidRPr="00A42114">
        <w:rPr>
          <w:noProof w:val="0"/>
          <w:sz w:val="18"/>
          <w:szCs w:val="18"/>
          <w:lang w:val="en-GB"/>
        </w:rPr>
        <w:t xml:space="preserve"> </w:t>
      </w:r>
      <w:proofErr w:type="spellStart"/>
      <w:r w:rsidRPr="00A42114">
        <w:rPr>
          <w:noProof w:val="0"/>
          <w:sz w:val="18"/>
          <w:szCs w:val="18"/>
          <w:lang w:val="en-GB"/>
        </w:rPr>
        <w:t>Tun</w:t>
      </w:r>
      <w:proofErr w:type="spellEnd"/>
      <w:r w:rsidRPr="00A42114">
        <w:rPr>
          <w:noProof w:val="0"/>
          <w:sz w:val="18"/>
          <w:szCs w:val="18"/>
          <w:lang w:val="en-GB"/>
        </w:rPr>
        <w:t xml:space="preserve"> Hussein Onn Malaysia, 86400 </w:t>
      </w:r>
      <w:proofErr w:type="spellStart"/>
      <w:r w:rsidRPr="00A42114">
        <w:rPr>
          <w:noProof w:val="0"/>
          <w:sz w:val="18"/>
          <w:szCs w:val="18"/>
          <w:lang w:val="en-GB"/>
        </w:rPr>
        <w:t>Parit</w:t>
      </w:r>
      <w:proofErr w:type="spellEnd"/>
      <w:r w:rsidRPr="00A42114">
        <w:rPr>
          <w:noProof w:val="0"/>
          <w:sz w:val="18"/>
          <w:szCs w:val="18"/>
          <w:lang w:val="en-GB"/>
        </w:rPr>
        <w:t xml:space="preserve"> Raja, </w:t>
      </w:r>
      <w:proofErr w:type="spellStart"/>
      <w:r w:rsidRPr="00A42114">
        <w:rPr>
          <w:noProof w:val="0"/>
          <w:sz w:val="18"/>
          <w:szCs w:val="18"/>
          <w:lang w:val="en-GB"/>
        </w:rPr>
        <w:t>Batu</w:t>
      </w:r>
      <w:proofErr w:type="spellEnd"/>
      <w:r w:rsidRPr="00A42114">
        <w:rPr>
          <w:noProof w:val="0"/>
          <w:sz w:val="18"/>
          <w:szCs w:val="18"/>
          <w:lang w:val="en-GB"/>
        </w:rPr>
        <w:t xml:space="preserve"> </w:t>
      </w:r>
      <w:proofErr w:type="spellStart"/>
      <w:r w:rsidRPr="00A42114">
        <w:rPr>
          <w:noProof w:val="0"/>
          <w:sz w:val="18"/>
          <w:szCs w:val="18"/>
          <w:lang w:val="en-GB"/>
        </w:rPr>
        <w:t>Pahat</w:t>
      </w:r>
      <w:proofErr w:type="spellEnd"/>
      <w:r w:rsidRPr="00A42114">
        <w:rPr>
          <w:noProof w:val="0"/>
          <w:sz w:val="18"/>
          <w:szCs w:val="18"/>
          <w:lang w:val="en-GB"/>
        </w:rPr>
        <w:t>, Johor, Malaysia</w:t>
      </w:r>
      <w:r w:rsidRPr="00A42114">
        <w:rPr>
          <w:sz w:val="18"/>
          <w:szCs w:val="18"/>
        </w:rPr>
        <w:t xml:space="preserve"> </w:t>
      </w:r>
    </w:p>
    <w:p w14:paraId="3288DED0" w14:textId="249624FD" w:rsidR="006F3481" w:rsidRPr="006F3481" w:rsidRDefault="006F3481" w:rsidP="00A42114">
      <w:pPr>
        <w:pStyle w:val="Abstract"/>
        <w:ind w:left="0"/>
        <w:jc w:val="left"/>
        <w:rPr>
          <w:sz w:val="22"/>
          <w:szCs w:val="22"/>
        </w:rPr>
      </w:pPr>
      <w:r w:rsidRPr="00A42114">
        <w:rPr>
          <w:sz w:val="18"/>
          <w:szCs w:val="18"/>
          <w:vertAlign w:val="superscript"/>
        </w:rPr>
        <w:t>3</w:t>
      </w:r>
      <w:r w:rsidRPr="00A42114">
        <w:rPr>
          <w:sz w:val="18"/>
          <w:szCs w:val="18"/>
        </w:rPr>
        <w:t xml:space="preserve">Advanced Forming Research Group, </w:t>
      </w:r>
      <w:proofErr w:type="spellStart"/>
      <w:r w:rsidRPr="00A42114">
        <w:rPr>
          <w:sz w:val="18"/>
          <w:szCs w:val="18"/>
        </w:rPr>
        <w:t>Universiti</w:t>
      </w:r>
      <w:proofErr w:type="spellEnd"/>
      <w:r w:rsidRPr="00A42114">
        <w:rPr>
          <w:sz w:val="18"/>
          <w:szCs w:val="18"/>
        </w:rPr>
        <w:t xml:space="preserve"> </w:t>
      </w:r>
      <w:proofErr w:type="spellStart"/>
      <w:r w:rsidRPr="00A42114">
        <w:rPr>
          <w:sz w:val="18"/>
          <w:szCs w:val="18"/>
        </w:rPr>
        <w:t>Tun</w:t>
      </w:r>
      <w:proofErr w:type="spellEnd"/>
      <w:r w:rsidRPr="00A42114">
        <w:rPr>
          <w:sz w:val="18"/>
          <w:szCs w:val="18"/>
        </w:rPr>
        <w:t xml:space="preserve"> Hussein Onn Malaysia, 86400 </w:t>
      </w:r>
      <w:proofErr w:type="spellStart"/>
      <w:r w:rsidRPr="00A42114">
        <w:rPr>
          <w:sz w:val="18"/>
          <w:szCs w:val="18"/>
        </w:rPr>
        <w:t>Parit</w:t>
      </w:r>
      <w:proofErr w:type="spellEnd"/>
      <w:r w:rsidRPr="00A42114">
        <w:rPr>
          <w:sz w:val="18"/>
          <w:szCs w:val="18"/>
        </w:rPr>
        <w:t xml:space="preserve"> Raja, </w:t>
      </w:r>
      <w:proofErr w:type="spellStart"/>
      <w:r w:rsidRPr="00A42114">
        <w:rPr>
          <w:sz w:val="18"/>
          <w:szCs w:val="18"/>
        </w:rPr>
        <w:t>Batu</w:t>
      </w:r>
      <w:proofErr w:type="spellEnd"/>
      <w:r w:rsidRPr="00A42114">
        <w:rPr>
          <w:sz w:val="18"/>
          <w:szCs w:val="18"/>
        </w:rPr>
        <w:t xml:space="preserve"> </w:t>
      </w:r>
      <w:proofErr w:type="spellStart"/>
      <w:r w:rsidRPr="00A42114">
        <w:rPr>
          <w:sz w:val="18"/>
          <w:szCs w:val="18"/>
        </w:rPr>
        <w:t>Pahat</w:t>
      </w:r>
      <w:proofErr w:type="spellEnd"/>
      <w:r w:rsidRPr="00A42114">
        <w:rPr>
          <w:sz w:val="18"/>
          <w:szCs w:val="18"/>
        </w:rPr>
        <w:t>, Johor, Malaysia</w:t>
      </w:r>
    </w:p>
    <w:p w14:paraId="403067FD" w14:textId="3A05CF21" w:rsidR="009D69BF" w:rsidRPr="00A42114" w:rsidRDefault="009D69BF" w:rsidP="004C38B7">
      <w:pPr>
        <w:pStyle w:val="Abstract"/>
        <w:spacing w:before="454" w:after="567"/>
        <w:ind w:left="964" w:right="964"/>
        <w:rPr>
          <w:sz w:val="18"/>
          <w:szCs w:val="18"/>
          <w:lang w:val="en-US"/>
        </w:rPr>
      </w:pPr>
      <w:r w:rsidRPr="004C38B7">
        <w:rPr>
          <w:rFonts w:ascii="Arial" w:hAnsi="Arial" w:cs="Arial"/>
          <w:b/>
          <w:sz w:val="18"/>
          <w:szCs w:val="18"/>
        </w:rPr>
        <w:t>Abstract</w:t>
      </w:r>
      <w:r w:rsidRPr="004C38B7">
        <w:rPr>
          <w:rFonts w:ascii="Arial" w:hAnsi="Arial" w:cs="Arial"/>
          <w:sz w:val="18"/>
          <w:szCs w:val="18"/>
        </w:rPr>
        <w:t>.</w:t>
      </w:r>
      <w:r w:rsidRPr="00A42114">
        <w:rPr>
          <w:sz w:val="18"/>
          <w:szCs w:val="18"/>
        </w:rPr>
        <w:t xml:space="preserve"> </w:t>
      </w:r>
      <w:r w:rsidR="00C17B4C" w:rsidRPr="006D20C1">
        <w:rPr>
          <w:rFonts w:cs="Times"/>
          <w:sz w:val="18"/>
          <w:szCs w:val="18"/>
          <w:lang w:val="en-US"/>
        </w:rPr>
        <w:t xml:space="preserve">Metal injection </w:t>
      </w:r>
      <w:proofErr w:type="spellStart"/>
      <w:r w:rsidR="00C17B4C" w:rsidRPr="006D20C1">
        <w:rPr>
          <w:rFonts w:cs="Times"/>
          <w:sz w:val="18"/>
          <w:szCs w:val="18"/>
          <w:lang w:val="en-US"/>
        </w:rPr>
        <w:t>moulding</w:t>
      </w:r>
      <w:proofErr w:type="spellEnd"/>
      <w:r w:rsidR="00C17B4C" w:rsidRPr="006D20C1">
        <w:rPr>
          <w:rFonts w:cs="Times"/>
          <w:sz w:val="18"/>
          <w:szCs w:val="18"/>
          <w:lang w:val="en-US"/>
        </w:rPr>
        <w:t xml:space="preserve"> </w:t>
      </w:r>
      <w:r w:rsidR="005D77BA" w:rsidRPr="006D20C1">
        <w:rPr>
          <w:rFonts w:cs="Times"/>
          <w:sz w:val="18"/>
          <w:szCs w:val="18"/>
          <w:lang w:val="en-US"/>
        </w:rPr>
        <w:t xml:space="preserve">(MIM) </w:t>
      </w:r>
      <w:r w:rsidR="00C17B4C" w:rsidRPr="006D20C1">
        <w:rPr>
          <w:rFonts w:cs="Times"/>
          <w:sz w:val="18"/>
          <w:szCs w:val="18"/>
          <w:lang w:val="en-US"/>
        </w:rPr>
        <w:t>has gain</w:t>
      </w:r>
      <w:r w:rsidR="005D77BA" w:rsidRPr="006D20C1">
        <w:rPr>
          <w:rFonts w:cs="Times"/>
          <w:sz w:val="18"/>
          <w:szCs w:val="18"/>
          <w:lang w:val="en-US"/>
        </w:rPr>
        <w:t>s</w:t>
      </w:r>
      <w:r w:rsidR="00C17B4C" w:rsidRPr="006D20C1">
        <w:rPr>
          <w:rFonts w:cs="Times"/>
          <w:sz w:val="18"/>
          <w:szCs w:val="18"/>
          <w:lang w:val="en-US"/>
        </w:rPr>
        <w:t xml:space="preserve"> much attention due to </w:t>
      </w:r>
      <w:r w:rsidR="005D77BA" w:rsidRPr="006D20C1">
        <w:rPr>
          <w:rFonts w:cs="Times"/>
          <w:sz w:val="18"/>
          <w:szCs w:val="18"/>
          <w:lang w:val="en-US"/>
        </w:rPr>
        <w:t>its ability in producing large amount of small part with complex geometry and intricate shape</w:t>
      </w:r>
      <w:r w:rsidR="00C17B4C" w:rsidRPr="006D20C1">
        <w:rPr>
          <w:rFonts w:cs="Times"/>
          <w:sz w:val="18"/>
          <w:szCs w:val="18"/>
          <w:lang w:val="en-US"/>
        </w:rPr>
        <w:t xml:space="preserve">. In order to </w:t>
      </w:r>
      <w:r w:rsidR="005D77BA" w:rsidRPr="006D20C1">
        <w:rPr>
          <w:rFonts w:cs="Times"/>
          <w:sz w:val="18"/>
          <w:szCs w:val="18"/>
          <w:lang w:val="en-US"/>
        </w:rPr>
        <w:t>obtain</w:t>
      </w:r>
      <w:r w:rsidR="00C17B4C" w:rsidRPr="006D20C1">
        <w:rPr>
          <w:rFonts w:cs="Times"/>
          <w:sz w:val="18"/>
          <w:szCs w:val="18"/>
          <w:lang w:val="en-US"/>
        </w:rPr>
        <w:t xml:space="preserve"> better shape retention, optimum density of green part is required. This paper deals with the application of Taguchi </w:t>
      </w:r>
      <w:r w:rsidR="005D77BA" w:rsidRPr="006D20C1">
        <w:rPr>
          <w:rFonts w:cs="Times"/>
          <w:sz w:val="18"/>
          <w:szCs w:val="18"/>
          <w:lang w:val="en-US"/>
        </w:rPr>
        <w:t xml:space="preserve">method in </w:t>
      </w:r>
      <w:proofErr w:type="spellStart"/>
      <w:r w:rsidR="00C17B4C" w:rsidRPr="006D20C1">
        <w:rPr>
          <w:rFonts w:cs="Times"/>
          <w:sz w:val="18"/>
          <w:szCs w:val="18"/>
          <w:lang w:val="en-US"/>
        </w:rPr>
        <w:t>optimis</w:t>
      </w:r>
      <w:r w:rsidR="005D77BA" w:rsidRPr="006D20C1">
        <w:rPr>
          <w:rFonts w:cs="Times"/>
          <w:sz w:val="18"/>
          <w:szCs w:val="18"/>
          <w:lang w:val="en-US"/>
        </w:rPr>
        <w:t>ing</w:t>
      </w:r>
      <w:proofErr w:type="spellEnd"/>
      <w:r w:rsidR="00C17B4C" w:rsidRPr="006D20C1">
        <w:rPr>
          <w:rFonts w:cs="Times"/>
          <w:sz w:val="18"/>
          <w:szCs w:val="18"/>
          <w:lang w:val="en-US"/>
        </w:rPr>
        <w:t xml:space="preserve"> </w:t>
      </w:r>
      <w:r w:rsidR="005D77BA" w:rsidRPr="006D20C1">
        <w:rPr>
          <w:rFonts w:cs="Times"/>
          <w:sz w:val="18"/>
          <w:szCs w:val="18"/>
          <w:lang w:val="en-US"/>
        </w:rPr>
        <w:t>the green</w:t>
      </w:r>
      <w:r w:rsidR="00C17B4C" w:rsidRPr="006D20C1">
        <w:rPr>
          <w:rFonts w:cs="Times"/>
          <w:sz w:val="18"/>
          <w:szCs w:val="18"/>
          <w:lang w:val="en-US"/>
        </w:rPr>
        <w:t xml:space="preserve"> density </w:t>
      </w:r>
      <w:r w:rsidR="005D77BA" w:rsidRPr="006D20C1">
        <w:rPr>
          <w:rFonts w:cs="Times"/>
          <w:sz w:val="18"/>
          <w:szCs w:val="18"/>
          <w:lang w:val="en-US"/>
        </w:rPr>
        <w:t>of</w:t>
      </w:r>
      <w:r w:rsidR="00C17B4C" w:rsidRPr="006D20C1">
        <w:rPr>
          <w:rFonts w:cs="Times"/>
          <w:sz w:val="18"/>
          <w:szCs w:val="18"/>
          <w:lang w:val="en-US"/>
        </w:rPr>
        <w:t xml:space="preserve"> </w:t>
      </w:r>
      <w:proofErr w:type="spellStart"/>
      <w:r w:rsidR="005D77BA" w:rsidRPr="006D20C1">
        <w:rPr>
          <w:rFonts w:cs="Times"/>
          <w:sz w:val="18"/>
          <w:szCs w:val="18"/>
          <w:lang w:val="en-US"/>
        </w:rPr>
        <w:t>moulded</w:t>
      </w:r>
      <w:proofErr w:type="spellEnd"/>
      <w:r w:rsidR="00C17B4C" w:rsidRPr="006D20C1">
        <w:rPr>
          <w:rFonts w:cs="Times"/>
          <w:sz w:val="18"/>
          <w:szCs w:val="18"/>
          <w:lang w:val="en-US"/>
        </w:rPr>
        <w:t xml:space="preserve"> components base on parameters </w:t>
      </w:r>
      <w:r w:rsidR="005D77BA" w:rsidRPr="006D20C1">
        <w:rPr>
          <w:rFonts w:cs="Times"/>
          <w:sz w:val="18"/>
          <w:szCs w:val="18"/>
          <w:lang w:val="en-US"/>
        </w:rPr>
        <w:t xml:space="preserve">setting in </w:t>
      </w:r>
      <w:r w:rsidR="003D6F2E" w:rsidRPr="006D20C1">
        <w:rPr>
          <w:rFonts w:cs="Times"/>
          <w:sz w:val="18"/>
          <w:szCs w:val="18"/>
          <w:lang w:val="en-US"/>
        </w:rPr>
        <w:t>p</w:t>
      </w:r>
      <w:r w:rsidR="005D77BA" w:rsidRPr="006D20C1">
        <w:rPr>
          <w:rFonts w:cs="Times"/>
          <w:sz w:val="18"/>
          <w:szCs w:val="18"/>
          <w:lang w:val="en-US"/>
        </w:rPr>
        <w:t xml:space="preserve">lastic injection </w:t>
      </w:r>
      <w:proofErr w:type="spellStart"/>
      <w:r w:rsidR="005D77BA" w:rsidRPr="006D20C1">
        <w:rPr>
          <w:rFonts w:cs="Times"/>
          <w:sz w:val="18"/>
          <w:szCs w:val="18"/>
          <w:lang w:val="en-US"/>
        </w:rPr>
        <w:t>moulding</w:t>
      </w:r>
      <w:proofErr w:type="spellEnd"/>
      <w:r w:rsidR="005D77BA" w:rsidRPr="006D20C1">
        <w:rPr>
          <w:rFonts w:cs="Times"/>
          <w:sz w:val="18"/>
          <w:szCs w:val="18"/>
          <w:lang w:val="en-US"/>
        </w:rPr>
        <w:t xml:space="preserve"> machine.</w:t>
      </w:r>
      <w:r w:rsidR="00C17B4C" w:rsidRPr="006D20C1">
        <w:rPr>
          <w:rFonts w:cs="Times"/>
          <w:sz w:val="18"/>
          <w:szCs w:val="18"/>
          <w:lang w:val="en-US"/>
        </w:rPr>
        <w:t xml:space="preserve"> For this purposes only </w:t>
      </w:r>
      <w:r w:rsidR="005D77BA" w:rsidRPr="006D20C1">
        <w:rPr>
          <w:rFonts w:cs="Times"/>
          <w:sz w:val="18"/>
          <w:szCs w:val="18"/>
          <w:lang w:val="en-US"/>
        </w:rPr>
        <w:t>7</w:t>
      </w:r>
      <w:r w:rsidR="00C17B4C" w:rsidRPr="006D20C1">
        <w:rPr>
          <w:rFonts w:cs="Times"/>
          <w:sz w:val="18"/>
          <w:szCs w:val="18"/>
          <w:lang w:val="en-US"/>
        </w:rPr>
        <w:t xml:space="preserve"> process parameters were considered here are injection pressure, injection temperature</w:t>
      </w:r>
      <w:r w:rsidR="005D77BA" w:rsidRPr="006D20C1">
        <w:rPr>
          <w:rFonts w:cs="Times"/>
          <w:sz w:val="18"/>
          <w:szCs w:val="18"/>
          <w:lang w:val="en-US"/>
        </w:rPr>
        <w:t xml:space="preserve">, cooling time, </w:t>
      </w:r>
      <w:r w:rsidR="009203E1" w:rsidRPr="006D20C1">
        <w:rPr>
          <w:rFonts w:cs="Times"/>
          <w:sz w:val="18"/>
          <w:szCs w:val="18"/>
          <w:lang w:val="en-US"/>
        </w:rPr>
        <w:t>injection speed, injection time, packing time</w:t>
      </w:r>
      <w:r w:rsidR="00C17B4C" w:rsidRPr="006D20C1">
        <w:rPr>
          <w:rFonts w:cs="Times"/>
          <w:sz w:val="18"/>
          <w:szCs w:val="18"/>
          <w:lang w:val="en-US"/>
        </w:rPr>
        <w:t xml:space="preserve"> and </w:t>
      </w:r>
      <w:proofErr w:type="spellStart"/>
      <w:r w:rsidR="00C17B4C" w:rsidRPr="006D20C1">
        <w:rPr>
          <w:rFonts w:cs="Times"/>
          <w:sz w:val="18"/>
          <w:szCs w:val="18"/>
          <w:lang w:val="en-US"/>
        </w:rPr>
        <w:t>mould</w:t>
      </w:r>
      <w:proofErr w:type="spellEnd"/>
      <w:r w:rsidR="00C17B4C" w:rsidRPr="006D20C1">
        <w:rPr>
          <w:rFonts w:cs="Times"/>
          <w:sz w:val="18"/>
          <w:szCs w:val="18"/>
          <w:lang w:val="en-US"/>
        </w:rPr>
        <w:t xml:space="preserve"> temperature. An orthogonal array of L</w:t>
      </w:r>
      <w:r w:rsidR="009203E1" w:rsidRPr="006D20C1">
        <w:rPr>
          <w:rFonts w:cs="Times"/>
          <w:sz w:val="18"/>
          <w:szCs w:val="18"/>
          <w:lang w:val="en-US"/>
        </w:rPr>
        <w:t>27</w:t>
      </w:r>
      <w:r w:rsidR="00C17B4C" w:rsidRPr="006D20C1">
        <w:rPr>
          <w:rFonts w:cs="Times"/>
          <w:sz w:val="18"/>
          <w:szCs w:val="18"/>
          <w:lang w:val="en-US"/>
        </w:rPr>
        <w:t xml:space="preserve"> experimental base design was conducted. </w:t>
      </w:r>
      <w:r w:rsidR="009203E1" w:rsidRPr="006D20C1">
        <w:rPr>
          <w:rFonts w:cs="Times"/>
          <w:sz w:val="18"/>
          <w:szCs w:val="18"/>
          <w:lang w:val="en-US"/>
        </w:rPr>
        <w:t xml:space="preserve">Base on the experimental results, cooling time plays significant contribution to density followed by injection pressure, time, speed, </w:t>
      </w:r>
      <w:proofErr w:type="spellStart"/>
      <w:r w:rsidR="009203E1" w:rsidRPr="006D20C1">
        <w:rPr>
          <w:rFonts w:cs="Times"/>
          <w:sz w:val="18"/>
          <w:szCs w:val="18"/>
          <w:lang w:val="en-US"/>
        </w:rPr>
        <w:t>mould</w:t>
      </w:r>
      <w:proofErr w:type="spellEnd"/>
      <w:r w:rsidR="009203E1" w:rsidRPr="006D20C1">
        <w:rPr>
          <w:rFonts w:cs="Times"/>
          <w:sz w:val="18"/>
          <w:szCs w:val="18"/>
          <w:lang w:val="en-US"/>
        </w:rPr>
        <w:t xml:space="preserve"> temperature, packing time and injection temperature. </w:t>
      </w:r>
      <w:r w:rsidR="003D6F2E" w:rsidRPr="006D20C1">
        <w:rPr>
          <w:rFonts w:cs="Times"/>
          <w:sz w:val="18"/>
          <w:szCs w:val="18"/>
          <w:lang w:val="en-US"/>
        </w:rPr>
        <w:t xml:space="preserve">Confirmation test was done base on optimization level for each factors and shows good results in green density of the injected </w:t>
      </w:r>
      <w:proofErr w:type="spellStart"/>
      <w:r w:rsidR="003D6F2E" w:rsidRPr="006D20C1">
        <w:rPr>
          <w:rFonts w:cs="Times"/>
          <w:sz w:val="18"/>
          <w:szCs w:val="18"/>
          <w:lang w:val="en-US"/>
        </w:rPr>
        <w:t>moulded</w:t>
      </w:r>
      <w:proofErr w:type="spellEnd"/>
      <w:r w:rsidR="003D6F2E" w:rsidRPr="006D20C1">
        <w:rPr>
          <w:rFonts w:cs="Times"/>
          <w:sz w:val="18"/>
          <w:szCs w:val="18"/>
          <w:lang w:val="en-US"/>
        </w:rPr>
        <w:t xml:space="preserve"> samples.</w:t>
      </w:r>
      <w:r w:rsidR="00C17B4C" w:rsidRPr="004C38B7">
        <w:rPr>
          <w:rFonts w:ascii="Times New Roman" w:hAnsi="Times New Roman"/>
          <w:sz w:val="18"/>
          <w:szCs w:val="18"/>
          <w:lang w:val="en-US"/>
        </w:rPr>
        <w:t xml:space="preserve"> </w:t>
      </w:r>
    </w:p>
    <w:p w14:paraId="1C121FFE" w14:textId="77777777" w:rsidR="009D69BF" w:rsidRPr="004C38B7" w:rsidRDefault="00CC4B18" w:rsidP="00706E45">
      <w:pPr>
        <w:pStyle w:val="Heading2"/>
      </w:pPr>
      <w:r w:rsidRPr="004C38B7">
        <w:t>Introduction</w:t>
      </w:r>
    </w:p>
    <w:p w14:paraId="7E6206E5" w14:textId="15156B10" w:rsidR="009D69BF" w:rsidRPr="004C38B7" w:rsidRDefault="00A61E3A" w:rsidP="00A61E3A">
      <w:pPr>
        <w:ind w:firstLine="0"/>
      </w:pPr>
      <w:r>
        <w:rPr>
          <w:noProof/>
          <w:lang w:val="en-MY" w:eastAsia="en-MY"/>
        </w:rPr>
        <mc:AlternateContent>
          <mc:Choice Requires="wps">
            <w:drawing>
              <wp:anchor distT="0" distB="0" distL="114300" distR="114300" simplePos="0" relativeHeight="251659264" behindDoc="0" locked="1" layoutInCell="1" allowOverlap="1" wp14:anchorId="6F888020" wp14:editId="63BF99E8">
                <wp:simplePos x="0" y="0"/>
                <wp:positionH relativeFrom="column">
                  <wp:posOffset>17145</wp:posOffset>
                </wp:positionH>
                <wp:positionV relativeFrom="paragraph">
                  <wp:posOffset>1257300</wp:posOffset>
                </wp:positionV>
                <wp:extent cx="4686300" cy="5715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46863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A64179" w14:textId="56CB63CE" w:rsidR="007A0A33" w:rsidRDefault="007A0A33" w:rsidP="008B10ED">
                            <w:pPr>
                              <w:spacing w:before="120"/>
                              <w:ind w:left="-142" w:firstLine="0"/>
                            </w:pPr>
                            <w:r>
                              <w:t>____________________________________</w:t>
                            </w:r>
                          </w:p>
                          <w:p w14:paraId="41F4DC19" w14:textId="02323109" w:rsidR="007A0A33" w:rsidRPr="00A61E3A" w:rsidRDefault="007A0A33" w:rsidP="008B10ED">
                            <w:pPr>
                              <w:spacing w:before="120"/>
                              <w:ind w:left="-142" w:firstLine="0"/>
                              <w:rPr>
                                <w:sz w:val="18"/>
                                <w:szCs w:val="18"/>
                              </w:rPr>
                            </w:pPr>
                            <w:r w:rsidRPr="00A61E3A">
                              <w:rPr>
                                <w:b/>
                                <w:sz w:val="18"/>
                                <w:szCs w:val="18"/>
                              </w:rPr>
                              <w:t>* Corresponding author</w:t>
                            </w:r>
                            <w:r>
                              <w:rPr>
                                <w:b/>
                                <w:sz w:val="18"/>
                                <w:szCs w:val="18"/>
                              </w:rPr>
                              <w:t xml:space="preserve">: </w:t>
                            </w:r>
                            <w:hyperlink r:id="rId8" w:history="1">
                              <w:r w:rsidRPr="00B702AD">
                                <w:rPr>
                                  <w:rStyle w:val="Hyperlink"/>
                                  <w:sz w:val="18"/>
                                  <w:szCs w:val="18"/>
                                </w:rPr>
                                <w:t>azriszul@uthm.edu.my</w:t>
                              </w:r>
                            </w:hyperlink>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888020" id="_x0000_t202" coordsize="21600,21600" o:spt="202" path="m,l,21600r21600,l21600,xe">
                <v:stroke joinstyle="miter"/>
                <v:path gradientshapeok="t" o:connecttype="rect"/>
              </v:shapetype>
              <v:shape id="Text Box 4" o:spid="_x0000_s1026" type="#_x0000_t202" style="position:absolute;left:0;text-align:left;margin-left:1.35pt;margin-top:99pt;width:369pt;height: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" filled="f" stroked="f">
                <v:textbox>
                  <w:txbxContent>
                    <w:p w14:paraId="69A64179" w14:textId="56CB63CE" w:rsidR="007A0A33" w:rsidRDefault="007A0A33" w:rsidP="008B10ED">
                      <w:pPr>
                        <w:spacing w:before="120"/>
                        <w:ind w:left="-142" w:firstLine="0"/>
                      </w:pPr>
                      <w:r>
                        <w:t>____________________________________</w:t>
                      </w:r>
                    </w:p>
                    <w:p w14:paraId="41F4DC19" w14:textId="02323109" w:rsidR="007A0A33" w:rsidRPr="00A61E3A" w:rsidRDefault="007A0A33" w:rsidP="008B10ED">
                      <w:pPr>
                        <w:spacing w:before="120"/>
                        <w:ind w:left="-142" w:firstLine="0"/>
                        <w:rPr>
                          <w:sz w:val="18"/>
                          <w:szCs w:val="18"/>
                        </w:rPr>
                      </w:pPr>
                      <w:r w:rsidRPr="00A61E3A">
                        <w:rPr>
                          <w:b/>
                          <w:sz w:val="18"/>
                          <w:szCs w:val="18"/>
                        </w:rPr>
                        <w:t>* Corresponding author</w:t>
                      </w:r>
                      <w:r>
                        <w:rPr>
                          <w:b/>
                          <w:sz w:val="18"/>
                          <w:szCs w:val="18"/>
                        </w:rPr>
                        <w:t xml:space="preserve">: </w:t>
                      </w:r>
                      <w:hyperlink r:id="rId9" w:history="1">
                        <w:r w:rsidRPr="00B702AD">
                          <w:rPr>
                            <w:rStyle w:val="Hyperlink"/>
                            <w:sz w:val="18"/>
                            <w:szCs w:val="18"/>
                          </w:rPr>
                          <w:t>azriszul@uthm.edu.my</w:t>
                        </w:r>
                      </w:hyperlink>
                      <w:r>
                        <w:rPr>
                          <w:sz w:val="18"/>
                          <w:szCs w:val="18"/>
                        </w:rPr>
                        <w:t xml:space="preserve"> </w:t>
                      </w:r>
                    </w:p>
                  </w:txbxContent>
                </v:textbox>
                <w10:wrap type="square"/>
                <w10:anchorlock/>
              </v:shape>
            </w:pict>
          </mc:Fallback>
        </mc:AlternateContent>
      </w:r>
      <w:r w:rsidR="00CC4B18" w:rsidRPr="004C38B7">
        <w:t xml:space="preserve">Metal injection </w:t>
      </w:r>
      <w:r w:rsidR="009D44E8" w:rsidRPr="004C38B7">
        <w:t>moulding</w:t>
      </w:r>
      <w:r w:rsidR="00CC4B18" w:rsidRPr="004C38B7">
        <w:t xml:space="preserve"> is a manufacturing process with a capability of producing complex geometry and intricate parts from mixing of metals, ceramic or </w:t>
      </w:r>
      <w:r w:rsidR="00FF4005" w:rsidRPr="004C38B7">
        <w:t>cermet</w:t>
      </w:r>
      <w:r w:rsidR="00CC4B18" w:rsidRPr="004C38B7">
        <w:t xml:space="preserve"> powder with combination of polymers, wax and surfactant</w:t>
      </w:r>
      <w:r w:rsidR="00A10129" w:rsidRPr="004C38B7">
        <w:t xml:space="preserve"> </w:t>
      </w:r>
      <w:r w:rsidR="00CC4B18" w:rsidRPr="004C38B7">
        <w:fldChar w:fldCharType="begin" w:fldLock="1"/>
      </w:r>
      <w:r w:rsidR="008035C1" w:rsidRPr="004C38B7">
        <w:instrText>ADDIN CSL_CITATION { "citationItems" : [ { "id" : "ITEM-1", "itemData" : { "DOI" : "10.1016/j.jmatprotec.2012.05.023", "ISBN" : "0924-0136", "ISSN" : "09240136", "abstract" : "Adapted from powder injection molding (PIM), the micro-PIM technology satisfies the increasing demands for functionalization and miniaturization of micro-parts. Research works in this area have been carried out through micro injection molding tests issued from mixtures consisting in 316L stainless steel fine powders with D 50 = 3.4 ??m and different thermoplastic polymeric binders. The well appropriate polymer-powder formulations are composed with different binders. The binders have been adapted to micro-injection and tested to find out an optimum feedstock. The rheological characterization of the elaborated feedstock has been carried out according to the selected stainless steel powders and polymers. The critical powder volume loading has been determinated and fixed in the range of 68-70%, and the optimal powder volume loading has been chosen around 66% for 316L stainless steel feedstock (D 50 = 3.4 ??m). This choice has been confirmed by processing of the micro-components with the retained feedstock loaded up to 66%. ?? 2012 Elsevier B.V. All rights reserved.", "author" : [ { "dropping-particle" : "", "family" : "Kong", "given" : "X.", "non-dropping-particle" : "", "parse-names" : false, "suffix" : "" }, { "dropping-particle" : "", "family" : "Barriere", "given" : "T.", "non-dropping-particle" : "", "parse-names" : false, "suffix" : "" }, { "dropping-particle" : "", "family" : "Gelin", "given" : "J.C. C.", "non-dropping-particle" : "", "parse-names" : false, "suffix" : "" } ], "container-title" : "Journal of Materials Processing Technology", "id" : "ITEM-1", "issue" : "11", "issued" : { "date-parts" : [ [ "2012", "11" ] ] }, "page" : "2173-2182", "publisher" : "Elsevier B.V.", "title" : "Determination of critical and optimal powder loadings for 316L fine stainless steel feedstocks for micro-powder injection molding", "type" : "article-journal", "volume" : "212" }, "uris" : [ "http://www.mendeley.com/documents/?uuid=d59874b7-c682-448d-81c6-cfeef7636fb5" ] } ], "mendeley" : { "formattedCitation" : "[1]", "plainTextFormattedCitation" : "[1]", "previouslyFormattedCitation" : "[1]" }, "properties" : { "noteIndex" : 0 }, "schema" : "https://github.com/citation-style-language/schema/raw/master/csl-citation.json" }</w:instrText>
      </w:r>
      <w:r w:rsidR="00CC4B18" w:rsidRPr="004C38B7">
        <w:fldChar w:fldCharType="separate"/>
      </w:r>
      <w:r w:rsidR="008035C1" w:rsidRPr="004C38B7">
        <w:rPr>
          <w:noProof/>
        </w:rPr>
        <w:t>[1]</w:t>
      </w:r>
      <w:r w:rsidR="00CC4B18" w:rsidRPr="004C38B7">
        <w:fldChar w:fldCharType="end"/>
      </w:r>
      <w:r w:rsidR="00CC4B18" w:rsidRPr="004C38B7">
        <w:t xml:space="preserve"> with a few shot as compare to other fabrication process</w:t>
      </w:r>
      <w:r w:rsidR="00A10129" w:rsidRPr="004C38B7">
        <w:t xml:space="preserve"> </w:t>
      </w:r>
      <w:r w:rsidR="006E017B" w:rsidRPr="004C38B7">
        <w:fldChar w:fldCharType="begin" w:fldLock="1"/>
      </w:r>
      <w:r w:rsidR="00A10129" w:rsidRPr="004C38B7">
        <w:instrText>ADDIN CSL_CITATION { "citationItems" : [ { "id" : "ITEM-1", "itemData" : { "DOI" : "10.1016/j.jmatprotec.2010.02.008", "ISBN" : "0924-0136", "ISSN" : "09240136", "abstract" : "A composition of starch and linear low-density polyethylene (LLDPE) was prepared as the binder and a mixture of this binder with 316L stainless steel powder was used to achieve a feedstock with 57% vol. powder loading. Rheological specifications of the binder and the feedstock were observed by means of capillary rheometery. Pseudo-plastic behavior of the binder and feedstock was investigated as a necessity in metal injection molding (MIM) process by proper flow characterization tests and their viscosity as the most significant flow characteristic was obtained in acceptable ranges. Thermogravimetric analysis (TGA) was carried out on feedstock in order to understand decomposition behavior of the binder components. In the next step, injection molding of the components was successfully conducted. Mechanical properties of compacts were then investigated through the triple point flexure test and the results showed that mechanical strength of specimens are very close to established ranges. The density of green parts was measured to assess the compaction of feedstock and it was achieved within the expected range for ferrous-based feedstocks. Debinding process was accomplished on compacted articles at three different temperature ranges including 70, 80 and 90 ??C. Sintering process also was successfully accomplished on samples. For observing microstructures, the surface and cross section of specimens were compared before and after debinding as well as after sintering using scanning electron macrograph (SEM). Generally, this newly developed binder demonstrated a good potential for being utilized in MIM process. ?? 2010 Elsevier B.V. All rights reserved.", "author" : [ { "dropping-particle" : "", "family" : "Abolhasani", "given" : "H.", "non-dropping-particle" : "", "parse-names" : false, "suffix" : "" }, { "dropping-particle" : "", "family" : "Muhamad", "given" : "N.", "non-dropping-particle" : "", "parse-names" : false, "suffix" : "" } ], "container-title" : "Journal of Materials Processing Technology", "id" : "ITEM-1", "issue" : "6-7", "issued" : { "date-parts" : [ [ "2010" ] ] }, "page" : "961-968", "publisher" : "Elsevier B.V.", "title" : "A new starch-based binder for metal injection molding", "type" : "article-journal", "volume" : "210" }, "uris" : [ "http://www.mendeley.com/documents/?uuid=c5f9ae2e-16a7-431f-bd66-7047ce22eab1" ] }, { "id" : "ITEM-2", "itemData" : { "DOI" : "10.1016/j.powtec.2009.03.010", "ISSN" : "00325910", "abstract" : "It is essential to study and optimize multiple objective functions such as binder system design, feedstock, part geometry, mold design, and processing conditions in order to develop a successful powder injection molding process. A powder with different combinations of binder systems and a binder system with different combinations of powder systems were investigated with a combined experimental and simulation study. First, an experimental rheological study was performed to evaluate the influence of the powder/binder combinations on the rheological behavior and thermal stability of carbonyl iron and stainless steel powder injection molding (PIM) feedstocks. Second, based on the characterization of the feedstock, the simulation study revealed that the pressure-related parameters such as wall shear stress, injection pressure, and clamping force were mainly dependent on the binder system and not much on the powder characteristics, in the range of particle attributes studied. Third, to the temperature-related parameters such as melt front temperature difference and cooling time, binder selection is more critical than powder selection. Fourth, for the velocity-related parameter, maximum shear rate, the selection of both powder and binder system is critical in control. It is demonstrated that the simulation study is essential in the development stage for successful PIM.", "author" : [ { "dropping-particle" : "", "family" : "Ahn", "given" : "Seokyoung", "non-dropping-particle" : "", "parse-names" : false, "suffix" : "" }, { "dropping-particle" : "", "family" : "Jin", "given" : "Seong", "non-dropping-particle" : "", "parse-names" : false, "suffix" : "" }, { "dropping-particle" : "", "family" : "Lee", "given" : "Shiwoo", "non-dropping-particle" : "", "parse-names" : false, "suffix" : "" }, { "dropping-particle" : "V.", "family" : "Atre", "given" : "Sundar", "non-dropping-particle" : "", "parse-names" : false, "suffix" : "" }, { "dropping-particle" : "", "family" : "German", "given" : "Randall M.", "non-dropping-particle" : "", "parse-names" : false, "suffix" : "" }, { "dropping-particle" : "", "family" : "Park", "given" : "Seong Jin", "non-dropping-particle" : "", "parse-names" : false, "suffix" : "" }, { "dropping-particle" : "", "family" : "Lee", "given" : "Shiwoo", "non-dropping-particle" : "", "parse-names" : false, "suffix" : "" }, { "dropping-particle" : "V.", "family" : "Atre", "given" : "Sundar", "non-dropping-particle" : "", "parse-names" : false, "suffix" : "" }, { "dropping-particle" : "", "family" : "German", "given" : "Randall M.", "non-dropping-particle" : "", "parse-names" : false, "suffix" : "" }, { "dropping-particle" : "", "family" : "Jin", "given" : "Seong", "non-dropping-particle" : "", "parse-names" : false, "suffix" : "" }, { "dropping-particle" : "", "family" : "Lee", "given" : "Shiwoo", "non-dropping-particle" : "", "parse-names" : false, "suffix" : "" }, { "dropping-particle" : "V.", "family" : "Atre", "given" : "Sundar", "non-dropping-particle" : "", "parse-names" : false, "suffix" : "" }, { "dropping-particle" : "", "family" : "German", "given" : "Randall M.", "non-dropping-particle" : "", "parse-names" : false, "suffix" : "" } ], "container-title" : "Powder Technology", "id" : "ITEM-2", "issue" : "2", "issued" : { "date-parts" : [ [ "2009", "7" ] ] }, "page" : "162-169", "publisher" : "Elsevier B.V.", "title" : "Effect of powders and binders on material properties and molding parameters in iron and stainless steel powder injection molding process", "type" : "article-journal", "volume" : "193" }, "uris" : [ "http://www.mendeley.com/documents/?uuid=24c119db-1199-4708-8333-d824772aac81" ] }, { "id" : "ITEM-3", "itemData" : { "author" : [ { "dropping-particle" : "", "family" : "Omar", "given" : "Mohd Afian", "non-dropping-particle" : "", "parse-names" : false, "suffix" : "" }, { "dropping-particle" : "", "family" : "Subuki", "given" : "Istikamah", "non-dropping-particle" : "", "parse-names" : false, "suffix" : "" }, { "dropping-particle" : "", "family" : "Abdullah", "given" : "Norsyakira", "non-dropping-particle" : "", "parse-names" : false, "suffix" : "" }, { "dropping-particle" : "", "family" : "Ismail", "given" : "Mohd Fahies", "non-dropping-particle" : "", "parse-names" : false, "suffix" : "" } ], "container-title" : "Journal of Science and Technology", "id" : "ITEM-3", "issue" : "2", "issued" : { "date-parts" : [ [ "2010" ] ] }, "page" : "1-14", "title" : "The Influence Of Palm Stearin Content On The Rheological Behaviour Of 316L Stainless Steel Mim Compact", "type" : "article-journal", "volume" : "2" }, "uris" : [ "http://www.mendeley.com/documents/?uuid=08dafc59-76eb-49ee-804e-c6f26a611e0c" ] } ], "mendeley" : { "formattedCitation" : "[2]\u2013[4]", "plainTextFormattedCitation" : "[2]\u2013[4]", "previouslyFormattedCitation" : "[2]\u2013[4]" }, "properties" : { "noteIndex" : 0 }, "schema" : "https://github.com/citation-style-language/schema/raw/master/csl-citation.json" }</w:instrText>
      </w:r>
      <w:r w:rsidR="006E017B" w:rsidRPr="004C38B7">
        <w:fldChar w:fldCharType="separate"/>
      </w:r>
      <w:r w:rsidR="006E017B" w:rsidRPr="004C38B7">
        <w:rPr>
          <w:noProof/>
        </w:rPr>
        <w:t>[2]–[4]</w:t>
      </w:r>
      <w:r w:rsidR="006E017B" w:rsidRPr="004C38B7">
        <w:fldChar w:fldCharType="end"/>
      </w:r>
      <w:r w:rsidR="00CC4B18" w:rsidRPr="004C38B7">
        <w:t xml:space="preserve">. Due to its versatility, near net shape and less materials waste, it's becomes attraction to most researchers in exploiting it into new dimensions whether in terms of its binder, powder characteristic, injection </w:t>
      </w:r>
      <w:r w:rsidR="009D44E8" w:rsidRPr="004C38B7">
        <w:t>moulding</w:t>
      </w:r>
      <w:r w:rsidR="00CC4B18" w:rsidRPr="004C38B7">
        <w:t xml:space="preserve"> conditions, </w:t>
      </w:r>
      <w:proofErr w:type="spellStart"/>
      <w:r w:rsidR="00CC4B18" w:rsidRPr="004C38B7">
        <w:t>debinding</w:t>
      </w:r>
      <w:proofErr w:type="spellEnd"/>
      <w:r w:rsidR="00CC4B18" w:rsidRPr="004C38B7">
        <w:t xml:space="preserve"> and sintering</w:t>
      </w:r>
      <w:r w:rsidR="00A10129" w:rsidRPr="004C38B7">
        <w:t xml:space="preserve"> </w:t>
      </w:r>
      <w:r w:rsidR="008035C1" w:rsidRPr="004C38B7">
        <w:fldChar w:fldCharType="begin" w:fldLock="1"/>
      </w:r>
      <w:r w:rsidR="006E017B" w:rsidRPr="004C38B7">
        <w:instrText>ADDIN CSL_CITATION { "citationItems" : [ { "id" : "ITEM-1", "itemData" : { "DOI" : "10.4028/www.scientific.net/AMM.660.38", "ISSN" : "1662-7482", "author" : [ { "dropping-particle" : "", "family" : "Amin", "given" : "Azriszul Mohd", "non-dropping-particle" : "", "parse-names" : false, "suffix" : "" }, { "dropping-particle" : "", "family" : "Ibrahim", "given" : "Mohd Halim Irwan", "non-dropping-particle" : "", "parse-names" : false, "suffix" : "" }, { "dropping-particle" : "", "family" : "Asmawi", "given" : "Rosli", "non-dropping-particle" : "", "parse-names" : false, "suffix" : "" }, { "dropping-particle" : "", "family" : "Mustafa", "given" : "Najwa", "non-dropping-particle" : "", "parse-names" : false, "suffix" : "" } ], "container-title" : "Applied Mechanics and Materials", "id" : "ITEM-1", "issued" : { "date-parts" : [ [ "2014" ] ] }, "page" : "38-42", "title" : "The Influence of Sewage fat Composition on Rheological Bahavior of Metal Injection Moulding", "type" : "article-journal", "volume" : "660" }, "uris" : [ "http://www.mendeley.com/documents/?uuid=2e48819c-304e-4c3b-9bc6-32559a2e2026" ] } ], "mendeley" : { "formattedCitation" : "[5]", "plainTextFormattedCitation" : "[5]", "previouslyFormattedCitation" : "[5]" }, "properties" : { "noteIndex" : 0 }, "schema" : "https://github.com/citation-style-language/schema/raw/master/csl-citation.json" }</w:instrText>
      </w:r>
      <w:r w:rsidR="008035C1" w:rsidRPr="004C38B7">
        <w:fldChar w:fldCharType="separate"/>
      </w:r>
      <w:r w:rsidR="006E017B" w:rsidRPr="004C38B7">
        <w:rPr>
          <w:noProof/>
        </w:rPr>
        <w:t>[5]</w:t>
      </w:r>
      <w:r w:rsidR="008035C1" w:rsidRPr="004C38B7">
        <w:fldChar w:fldCharType="end"/>
      </w:r>
      <w:r w:rsidR="00CC4B18" w:rsidRPr="004C38B7">
        <w:t>.</w:t>
      </w:r>
    </w:p>
    <w:p w14:paraId="0824E460" w14:textId="77777777" w:rsidR="007A0A33" w:rsidRDefault="007A0A33" w:rsidP="00706E45"/>
    <w:p w14:paraId="11AF852B" w14:textId="58D50414" w:rsidR="00A10129" w:rsidRDefault="00A10129" w:rsidP="00706E45">
      <w:r w:rsidRPr="004C38B7">
        <w:lastRenderedPageBreak/>
        <w:t>The traditional approach to experimental work is to vary one factor at a time, holding all other factors fixed. This method does not produce satisfactory results in a wide range of experimental settings. In order to obtain high efficiency in the planning and analysis of experimental data, various robust designs of DOE had</w:t>
      </w:r>
      <w:r w:rsidRPr="00A10129">
        <w:t xml:space="preserve"> </w:t>
      </w:r>
      <w:r w:rsidRPr="004C38B7">
        <w:t>been implemented in manufacturing area. Design of experimental (DOE) has long been applied by many</w:t>
      </w:r>
      <w:r w:rsidRPr="00A10129">
        <w:t xml:space="preserve"> </w:t>
      </w:r>
      <w:r w:rsidRPr="004C38B7">
        <w:t>researchers in terms</w:t>
      </w:r>
      <w:r w:rsidRPr="00A10129">
        <w:t xml:space="preserve"> </w:t>
      </w:r>
      <w:r w:rsidRPr="004C38B7">
        <w:t xml:space="preserve">of </w:t>
      </w:r>
      <w:r w:rsidRPr="00A10129">
        <w:t>mixing the metal or ceramics powder with binder</w:t>
      </w:r>
      <w:r>
        <w:t xml:space="preserve"> </w:t>
      </w:r>
      <w:r w:rsidRPr="00A10129">
        <w:fldChar w:fldCharType="begin" w:fldLock="1"/>
      </w:r>
      <w:r w:rsidR="00B555C4">
        <w:instrText>ADDIN CSL_CITATION { "citationItems" : [ { "id" : "ITEM-1", "itemData" : { "DOI" : "10.1016/S0167-577X(00)00151-8", "ISBN" : "0167-577X", "ISSN" : "0167577X", "abstract" : "Feedstock preparation for Powder Injection Molding (PIM) is a very crucial step since deficiencies in quality of the feedstock cannot be corrected by subsequent processing adjustments. Hence, it is important that the feedstock is homogeneous and free of powder-binder separation or particle segregation. The quality of the feedstock in the mixing process depends on numerous parameters such as mixing time, mixing temperature, sequence of material addition, powder size and shape, formulation of binder, shear rate, and powder loading. The present mixing study was conducted with 316L stainless steel and titanium carbide powders. The main objective was to establish suitable mixing parameters such as powder loading, mixing speed and mixing temperature. The rheological characteristics of the feedstocks, under various mixing conditions, were analyzed using the capillary rheometer. Results show that 54% volumetric powder loading gave satisfactory flow properties when mixed at a temperature of 90 ??C with a rotor speed of 30 rpm.", "author" : [ { "dropping-particle" : "", "family" : "Supati", "given" : "R.", "non-dropping-particle" : "", "parse-names" : false, "suffix" : "" }, { "dropping-particle" : "", "family" : "Loh", "given" : "N. H.", "non-dropping-particle" : "", "parse-names" : false, "suffix" : "" }, { "dropping-particle" : "", "family" : "Khor", "given" : "K. A.", "non-dropping-particle" : "", "parse-names" : false, "suffix" : "" }, { "dropping-particle" : "", "family" : "Tor", "given" : "S. B.", "non-dropping-particle" : "", "parse-names" : false, "suffix" : "" } ], "container-title" : "Materials Letters", "id" : "ITEM-1", "issue" : "2-3", "issued" : { "date-parts" : [ [ "2000" ] ] }, "page" : "109-114", "title" : "Mixing and characterization of feedstock for powder injection molding", "type" : "article-journal", "volume" : "46" }, "uris" : [ "http://www.mendeley.com/documents/?uuid=51c67210-07f3-4350-8f38-ec465a0b7c55" ] } ], "mendeley" : { "formattedCitation" : "[6]", "plainTextFormattedCitation" : "[6]", "previouslyFormattedCitation" : "[6]" }, "properties" : { "noteIndex" : 0 }, "schema" : "https://github.com/citation-style-language/schema/raw/master/csl-citation.json" }</w:instrText>
      </w:r>
      <w:r w:rsidRPr="00A10129">
        <w:fldChar w:fldCharType="separate"/>
      </w:r>
      <w:r w:rsidRPr="00A10129">
        <w:rPr>
          <w:noProof/>
        </w:rPr>
        <w:t>[6]</w:t>
      </w:r>
      <w:r w:rsidRPr="00A10129">
        <w:fldChar w:fldCharType="end"/>
      </w:r>
      <w:r w:rsidRPr="00A10129">
        <w:t xml:space="preserve"> to the sintering stage</w:t>
      </w:r>
      <w:r>
        <w:t xml:space="preserve"> </w:t>
      </w:r>
      <w:r w:rsidRPr="00A10129">
        <w:fldChar w:fldCharType="begin" w:fldLock="1"/>
      </w:r>
      <w:r w:rsidR="00B555C4">
        <w:instrText>ADDIN CSL_CITATION { "citationItems" : [ { "id" : "ITEM-1", "itemData" : { "DOI" : "10.1016/S0921-5093(01)00942-X", "ISBN" : "0921-5093", "ISSN" : "09215093", "abstract" : "Sintering is a key step in the metal injection molding process, which affects the final density as well as the mechanical properties of the sintered part. To achieve a high final density, the effects of various sintering factors pertaining to the temperature-time profile and sintering atmosphere have to be characterized and optimized as well. This paper reports the use of Taguchi method in characterizing and optimizing the process factors for sintering water-atomized 316L stainless steel (of average size 6 ??m). The effects of four sintering factors: sintering temperature, heating rate, sintering time and sintering atmosphere on the final density were studied. The various factors were assigned to an L9 orthogonal array. It was found that all the chosen sintering factors have significant effects on the final density. Optimum fractional final density of 96.14% of wrought material was achieved with a sintering temperature of 1250??C, a heating rate of 20??C min -1 and isothermal heating at 1250??C for 90 min in a vacuum atmosphere. Confirmatory experiments have produced results that lay within the 90% confidence interval. ?? 2001 Elsevier Science B.V. All rights reserved.", "author" : [ { "dropping-particle" : "", "family" : "Ji", "given" : "C. H.", "non-dropping-particle" : "", "parse-names" : false, "suffix" : "" }, { "dropping-particle" : "", "family" : "Loh", "given" : "N. H.", "non-dropping-particle" : "", "parse-names" : false, "suffix" : "" }, { "dropping-particle" : "", "family" : "Khor", "given" : "K. A.", "non-dropping-particle" : "", "parse-names" : false, "suffix" : "" }, { "dropping-particle" : "", "family" : "Tor", "given" : "S. B.", "non-dropping-particle" : "", "parse-names" : false, "suffix" : "" } ], "container-title" : "Materials Science and Engineering A", "id" : "ITEM-1", "issue" : "1-2", "issued" : { "date-parts" : [ [ "2001" ] ] }, "page" : "74-82", "title" : "Sintering study of 316L stainless steel metal injection molding parts using Taguchi method: Final density", "type" : "article-journal", "volume" : "311" }, "uris" : [ "http://www.mendeley.com/documents/?uuid=504dd649-026f-41b4-9905-57a4d0cec36c" ] }, { "id" : "ITEM-2", "itemData" : { "DOI" : "10.1179/003258904225020855", "ISBN" : "0032589042", "ISSN" : "00325899", "abstract" : "Stainless steel 316L MIM components can be made from either prealloyed powders or from master alloys blended with carbonyl iron powder. In this study these two techniques were compared using prealloyed and master alloyed gas atomised powders of - 16 m and - 22 m sizes. Four different compounds were prepared, characterised and injection moulded into tensile bars. The bars were compared for green strength, green defects, sintered strength and microstructure. The green components are stronger when carbonyl iron powder is used with the gas atomised master alloy. This material also seems to be less susceptible to moulding defects. The sintering strength of the material produced using the pre-alloyed powder was higher than the master alloyed prepared material. Little difference in mechanical properties existed between the materials fabricated from gas atomised prealloyed - 16 m and the - 22 m powders. Also, the viscosity of the mixtures was higher for the - 16 m material and the master alloy mixtures than for the 22 m gas atomised prealloyed powders.", "author" : [ { "dropping-particle" : "", "family" : "Heaney", "given" : "D. F.", "non-dropping-particle" : "", "parse-names" : false, "suffix" : "" }, { "dropping-particle" : "", "family" : "Mueller", "given" : "T. W.", "non-dropping-particle" : "", "parse-names" : false, "suffix" : "" }, { "dropping-particle" : "", "family" : "Davies", "given" : "P. a.", "non-dropping-particle" : "", "parse-names" : false, "suffix" : "" } ], "container-title" : "Powder Metallurgy", "id" : "ITEM-2", "issue" : "4", "issued" : { "date-parts" : [ [ "2004" ] ] }, "page" : "367-373", "title" : "Mechanical properties of metal injection moulded 316L stainless steel using both prealloy and master alloy techniques", "type" : "article-journal", "volume" : "47" }, "uris" : [ "http://www.mendeley.com/documents/?uuid=5695a7ae-6389-48f7-88e7-23fc501d658b" ] } ], "mendeley" : { "formattedCitation" : "[7], [8]", "plainTextFormattedCitation" : "[7], [8]", "previouslyFormattedCitation" : "[7], [8]" }, "properties" : { "noteIndex" : 0 }, "schema" : "https://github.com/citation-style-language/schema/raw/master/csl-citation.json" }</w:instrText>
      </w:r>
      <w:r w:rsidRPr="00A10129">
        <w:fldChar w:fldCharType="separate"/>
      </w:r>
      <w:r w:rsidRPr="00A10129">
        <w:rPr>
          <w:noProof/>
        </w:rPr>
        <w:t>[7], [8]</w:t>
      </w:r>
      <w:r w:rsidRPr="00A10129">
        <w:fldChar w:fldCharType="end"/>
      </w:r>
      <w:r w:rsidRPr="00A10129">
        <w:t xml:space="preserve">. Effect of powders and binders on injection </w:t>
      </w:r>
      <w:r w:rsidR="009D44E8" w:rsidRPr="00A10129">
        <w:t>moulding</w:t>
      </w:r>
      <w:r w:rsidRPr="00A10129">
        <w:t xml:space="preserve"> parameters has been </w:t>
      </w:r>
      <w:r w:rsidR="009D44E8" w:rsidRPr="00A10129">
        <w:t>analysed</w:t>
      </w:r>
      <w:r w:rsidRPr="00A10129">
        <w:t xml:space="preserve"> by </w:t>
      </w:r>
      <w:proofErr w:type="spellStart"/>
      <w:r w:rsidRPr="00A10129">
        <w:t>Ahn</w:t>
      </w:r>
      <w:proofErr w:type="spellEnd"/>
      <w:r w:rsidRPr="00A10129">
        <w:t xml:space="preserve"> et al.</w:t>
      </w:r>
      <w:r>
        <w:t xml:space="preserve"> </w:t>
      </w:r>
      <w:r w:rsidRPr="00A10129">
        <w:fldChar w:fldCharType="begin" w:fldLock="1"/>
      </w:r>
      <w:r w:rsidR="00B555C4">
        <w:instrText>ADDIN CSL_CITATION { "citationItems" : [ { "id" : "ITEM-1", "itemData" : { "DOI" : "10.1016/j.powtec.2009.03.010", "ISSN" : "00325910", "abstract" : "It is essential to study and optimize multiple objective functions such as binder system design, feedstock, part geometry, mold design, and processing conditions in order to develop a successful powder injection molding process. A powder with different combinations of binder systems and a binder system with different combinations of powder systems were investigated with a combined experimental and simulation study. First, an experimental rheological study was performed to evaluate the influence of the powder/binder combinations on the rheological behavior and thermal stability of carbonyl iron and stainless steel powder injection molding (PIM) feedstocks. Second, based on the characterization of the feedstock, the simulation study revealed that the pressure-related parameters such as wall shear stress, injection pressure, and clamping force were mainly dependent on the binder system and not much on the powder characteristics, in the range of particle attributes studied. Third, to the temperature-related parameters such as melt front temperature difference and cooling time, binder selection is more critical than powder selection. Fourth, for the velocity-related parameter, maximum shear rate, the selection of both powder and binder system is critical in control. It is demonstrated that the simulation study is essential in the development stage for successful PIM.", "author" : [ { "dropping-particle" : "", "family" : "Ahn", "given" : "Seokyoung", "non-dropping-particle" : "", "parse-names" : false, "suffix" : "" }, { "dropping-particle" : "", "family" : "Jin", "given" : "Seong", "non-dropping-particle" : "", "parse-names" : false, "suffix" : "" }, { "dropping-particle" : "", "family" : "Lee", "given" : "Shiwoo", "non-dropping-particle" : "", "parse-names" : false, "suffix" : "" }, { "dropping-particle" : "V.", "family" : "Atre", "given" : "Sundar", "non-dropping-particle" : "", "parse-names" : false, "suffix" : "" }, { "dropping-particle" : "", "family" : "German", "given" : "Randall M.", "non-dropping-particle" : "", "parse-names" : false, "suffix" : "" }, { "dropping-particle" : "", "family" : "Park", "given" : "Seong Jin", "non-dropping-particle" : "", "parse-names" : false, "suffix" : "" }, { "dropping-particle" : "", "family" : "Lee", "given" : "Shiwoo", "non-dropping-particle" : "", "parse-names" : false, "suffix" : "" }, { "dropping-particle" : "V.", "family" : "Atre", "given" : "Sundar", "non-dropping-particle" : "", "parse-names" : false, "suffix" : "" }, { "dropping-particle" : "", "family" : "German", "given" : "Randall M.", "non-dropping-particle" : "", "parse-names" : false, "suffix" : "" }, { "dropping-particle" : "", "family" : "Jin", "given" : "Seong", "non-dropping-particle" : "", "parse-names" : false, "suffix" : "" }, { "dropping-particle" : "", "family" : "Lee", "given" : "Shiwoo", "non-dropping-particle" : "", "parse-names" : false, "suffix" : "" }, { "dropping-particle" : "V.", "family" : "Atre", "given" : "Sundar", "non-dropping-particle" : "", "parse-names" : false, "suffix" : "" }, { "dropping-particle" : "", "family" : "German", "given" : "Randall M.", "non-dropping-particle" : "", "parse-names" : false, "suffix" : "" } ], "container-title" : "Powder Technology", "id" : "ITEM-1", "issue" : "2", "issued" : { "date-parts" : [ [ "2009", "7" ] ] }, "page" : "162-169", "publisher" : "Elsevier B.V.", "title" : "Effect of powders and binders on material properties and molding parameters in iron and stainless steel powder injection molding process", "type" : "article-journal", "volume" : "193" }, "uris" : [ "http://www.mendeley.com/documents/?uuid=24c119db-1199-4708-8333-d824772aac81" ] } ], "mendeley" : { "formattedCitation" : "[3]", "plainTextFormattedCitation" : "[3]", "previouslyFormattedCitation" : "[3]" }, "properties" : { "noteIndex" : 0 }, "schema" : "https://github.com/citation-style-language/schema/raw/master/csl-citation.json" }</w:instrText>
      </w:r>
      <w:r w:rsidRPr="00A10129">
        <w:fldChar w:fldCharType="separate"/>
      </w:r>
      <w:r w:rsidRPr="00A10129">
        <w:rPr>
          <w:noProof/>
        </w:rPr>
        <w:t>[3]</w:t>
      </w:r>
      <w:r w:rsidRPr="00A10129">
        <w:fldChar w:fldCharType="end"/>
      </w:r>
      <w:r w:rsidRPr="00A10129">
        <w:t xml:space="preserve"> where they indicate that the binder plays critical role in minimizing the injection pressure, clamping, temperature, cooling time and velocity. Their finding states very minimized influential by the types of powder. Application of DOE in MIM is continued by </w:t>
      </w:r>
      <w:proofErr w:type="spellStart"/>
      <w:r w:rsidRPr="00A10129">
        <w:t>Yakimov</w:t>
      </w:r>
      <w:proofErr w:type="spellEnd"/>
      <w:r w:rsidRPr="00A10129">
        <w:t xml:space="preserve"> and Coyle</w:t>
      </w:r>
      <w:r>
        <w:t xml:space="preserve"> </w:t>
      </w:r>
      <w:r w:rsidRPr="00A10129">
        <w:fldChar w:fldCharType="begin" w:fldLock="1"/>
      </w:r>
      <w:r w:rsidR="00B555C4">
        <w:instrText>ADDIN CSL_CITATION { "citationItems" : [ { "id" : "ITEM-1", "itemData" : { "author" : [ { "dropping-particle" : "", "family" : "Yakimov", "given" : "A.O.", "non-dropping-particle" : "", "parse-names" : false, "suffix" : "" }, { "dropping-particle" : "", "family" : "Coyle", "given" : "T.W.", "non-dropping-particle" : "", "parse-names" : false, "suffix" : "" } ], "container-title" : "Materials Science Letters", "id" : "ITEM-1", "issued" : { "date-parts" : [ [ "2000" ] ] }, "page" : "2255-2257", "title" : "A statistical analysis of the factors affecting thermal debinding", "type" : "article-journal", "volume" : "19" }, "uris" : [ "http://www.mendeley.com/documents/?uuid=c7dcaa3e-cb66-4634-94c6-6ddcf96e2e3a" ] } ], "mendeley" : { "formattedCitation" : "[9]", "plainTextFormattedCitation" : "[9]", "previouslyFormattedCitation" : "[9]" }, "properties" : { "noteIndex" : 0 }, "schema" : "https://github.com/citation-style-language/schema/raw/master/csl-citation.json" }</w:instrText>
      </w:r>
      <w:r w:rsidRPr="00A10129">
        <w:fldChar w:fldCharType="separate"/>
      </w:r>
      <w:r w:rsidRPr="00A10129">
        <w:rPr>
          <w:noProof/>
        </w:rPr>
        <w:t>[9]</w:t>
      </w:r>
      <w:r w:rsidRPr="00A10129">
        <w:fldChar w:fldCharType="end"/>
      </w:r>
      <w:r w:rsidRPr="00A10129">
        <w:t xml:space="preserve"> where they use full factorial design in determining the factors that affecting the thermal </w:t>
      </w:r>
      <w:proofErr w:type="spellStart"/>
      <w:r w:rsidRPr="00A10129">
        <w:t>debinding</w:t>
      </w:r>
      <w:proofErr w:type="spellEnd"/>
      <w:r w:rsidRPr="00A10129">
        <w:t xml:space="preserve"> processes. Jorge et al.</w:t>
      </w:r>
      <w:r>
        <w:t xml:space="preserve"> </w:t>
      </w:r>
      <w:r w:rsidRPr="00A10129">
        <w:fldChar w:fldCharType="begin" w:fldLock="1"/>
      </w:r>
      <w:r w:rsidR="00B555C4">
        <w:instrText>ADDIN CSL_CITATION { "citationItems" : [ { "id" : "ITEM-1", "itemData" : { "author" : [ { "dropping-particle" : "", "family" : "Jorge", "given" : "H\u00e9lio", "non-dropping-particle" : "", "parse-names" : false, "suffix" : "" }, { "dropping-particle" : "", "family" : "Hennetier", "given" : "Luc", "non-dropping-particle" : "", "parse-names" : false, "suffix" : "" }, { "dropping-particle" : "", "family" : "Correia", "given" : "Ant\u00f3nio", "non-dropping-particle" : "", "parse-names" : false, "suffix" : "" }, { "dropping-particle" : "", "family" : "Cunha", "given" : "Ant\u00f3nio", "non-dropping-particle" : "", "parse-names" : false, "suffix" : "" } ], "container-title" : "Euro PM2005", "id" : "ITEM-1", "issued" : { "date-parts" : [ [ "2005" ] ] }, "page" : "351-357", "title" : "Tailoring Solvent / Thermal Debinding 316L Stainless Steel Feedstocks for PIM : An Experimental Approach", "type" : "article-journal" }, "uris" : [ "http://www.mendeley.com/documents/?uuid=15217d94-988f-4f32-b8aa-928f9881141f" ] } ], "mendeley" : { "formattedCitation" : "[10]", "plainTextFormattedCitation" : "[10]", "previouslyFormattedCitation" : "[10]" }, "properties" : { "noteIndex" : 0 }, "schema" : "https://github.com/citation-style-language/schema/raw/master/csl-citation.json" }</w:instrText>
      </w:r>
      <w:r w:rsidRPr="00A10129">
        <w:fldChar w:fldCharType="separate"/>
      </w:r>
      <w:r w:rsidRPr="00A10129">
        <w:rPr>
          <w:noProof/>
        </w:rPr>
        <w:t>[10]</w:t>
      </w:r>
      <w:r w:rsidRPr="00A10129">
        <w:fldChar w:fldCharType="end"/>
      </w:r>
      <w:r w:rsidRPr="00A10129">
        <w:t xml:space="preserve"> using full factorial design in optimizing solvent and thermal </w:t>
      </w:r>
      <w:proofErr w:type="spellStart"/>
      <w:r w:rsidRPr="00A10129">
        <w:t>debinding</w:t>
      </w:r>
      <w:proofErr w:type="spellEnd"/>
      <w:r w:rsidRPr="00A10129">
        <w:t xml:space="preserve">. Factorial design was also used by </w:t>
      </w:r>
      <w:r w:rsidR="00966D4D">
        <w:fldChar w:fldCharType="begin" w:fldLock="1"/>
      </w:r>
      <w:r w:rsidR="00966D4D">
        <w:instrText>ADDIN CSL_CITATION { "citationItems" : [ { "id" : "ITEM-1", "itemData" : { "DOI" : "10.1016/0924-0136(95)02158-2", "ISSN" : "09240136", "abstract" : "A 24 factorial design was conducted to establish the effects of powder injection molding (PIM) parameters on the shrinkage properties of the widely used Fe-Ni powder system. Four process parameters were analyzed simultaneously: (i) the debinding method, i.e., solvent condensation versus vacuum; (ii) the sintering heating rate; (iii) the sintering hold temperature; and (iv) the sintering hold time. Dimensional measurements of the length, width and thickness of green and sintered rectangular tensile specimens were made. An analysis of variance, together with the F-test, were used to determine the statistical significance of each of the parameters on the length, width and thickness shrinkages.", "author" : [ { "dropping-particle" : "", "family" : "Loh", "given" : "N. H.", "non-dropping-particle" : "", "parse-names" : false, "suffix" : "" }, { "dropping-particle" : "", "family" : "German", "given" : "R. M.", "non-dropping-particle" : "", "parse-names" : false, "suffix" : "" } ], "container-title" : "Journal of Materials Processing Technology", "id" : "ITEM-1", "issue" : "3 SPEC. ISS.", "issued" : { "date-parts" : [ [ "1996" ] ] }, "page" : "278-284", "title" : "Statistical analysis of shrinkage variation for powder injection molding", "type" : "article-journal", "volume" : "59" }, "uris" : [ "http://www.mendeley.com/documents/?uuid=3f177e3a-6080-4aec-8ff3-3c419d742da3" ] }, { "id" : "ITEM-2", "itemData" : { "ISSN" : "15802949", "author" : [ { "dropping-particle" : "", "family" : "Butkovi\u0107", "given" : "Samir", "non-dropping-particle" : "", "parse-names" : false, "suffix" : "" }, { "dropping-particle" : "", "family" : "Oru\u010d", "given" : "Mirsada", "non-dropping-particle" : "", "parse-names" : false, "suffix" : "" }, { "dropping-particle" : "", "family" : "\u0160ari\u0107", "given" : "Emir", "non-dropping-particle" : "", "parse-names" : false, "suffix" : "" }, { "dropping-particle" : "", "family" : "Mehmedovi\u0107", "given" : "Muhamed", "non-dropping-particle" : "", "parse-names" : false, "suffix" : "" } ], "container-title" : "Materiali in Tehnologije", "id" : "ITEM-2", "issue" : "2", "issued" : { "date-parts" : [ [ "2012" ] ] }, "page" : "185-190", "title" : "Effect of sintering parameters on the density, microstructure and mechanical properties of the niobium-modified heat-resistant stainless steel GX40CrNiSi25-20 produced by MIM technology", "type" : "article-journal", "volume" : "46" }, "uris" : [ "http://www.mendeley.com/documents/?uuid=678c0399-3069-4c25-bd4d-ea35df22d375" ] } ], "mendeley" : { "formattedCitation" : "[11], [12]", "plainTextFormattedCitation" : "[11], [12]", "previouslyFormattedCitation" : "[11], [12]" }, "properties" : { "noteIndex" : 0 }, "schema" : "https://github.com/citation-style-language/schema/raw/master/csl-citation.json" }</w:instrText>
      </w:r>
      <w:r w:rsidR="00966D4D">
        <w:fldChar w:fldCharType="separate"/>
      </w:r>
      <w:r w:rsidR="00966D4D" w:rsidRPr="00966D4D">
        <w:rPr>
          <w:noProof/>
        </w:rPr>
        <w:t>[11], [12]</w:t>
      </w:r>
      <w:r w:rsidR="00966D4D">
        <w:fldChar w:fldCharType="end"/>
      </w:r>
      <w:r w:rsidRPr="00A10129">
        <w:t xml:space="preserve"> in optimizing the thermal and sintering parameters of the injected parts. </w:t>
      </w:r>
    </w:p>
    <w:p w14:paraId="15946D68" w14:textId="77777777" w:rsidR="00C17B4C" w:rsidRPr="00C17B4C" w:rsidRDefault="00C17B4C" w:rsidP="00706E45">
      <w:proofErr w:type="spellStart"/>
      <w:r w:rsidRPr="00C17B4C">
        <w:t>Dr.</w:t>
      </w:r>
      <w:proofErr w:type="spellEnd"/>
      <w:r w:rsidRPr="00C17B4C">
        <w:t xml:space="preserve"> </w:t>
      </w:r>
      <w:proofErr w:type="spellStart"/>
      <w:r w:rsidRPr="00C17B4C">
        <w:t>Geneichi</w:t>
      </w:r>
      <w:proofErr w:type="spellEnd"/>
      <w:r w:rsidRPr="00C17B4C">
        <w:t xml:space="preserve"> Taguchi is founded Taguchi’s robust design which functioning to reduce economically the variations of product function and optimizing the parameters involved in laboratory or manufacturing environment to meet the requirement of target quality. Taguchi parameter design applied to investigate and optimize the process involved in MIM has been implemented by Ji et al.</w:t>
      </w:r>
      <w:r w:rsidRPr="00C17B4C">
        <w:fldChar w:fldCharType="begin" w:fldLock="1"/>
      </w:r>
      <w:r w:rsidR="00B555C4">
        <w:instrText>ADDIN CSL_CITATION { "citationItems" : [ { "id" : "ITEM-1", "itemData" : { "DOI" : "10.1016/S0921-5093(01)00942-X", "ISBN" : "0921-5093", "ISSN" : "09215093", "abstract" : "Sintering is a key step in the metal injection molding process, which affects the final density as well as the mechanical properties of the sintered part. To achieve a high final density, the effects of various sintering factors pertaining to the temperature-time profile and sintering atmosphere have to be characterized and optimized as well. This paper reports the use of Taguchi method in characterizing and optimizing the process factors for sintering water-atomized 316L stainless steel (of average size 6 ??m). The effects of four sintering factors: sintering temperature, heating rate, sintering time and sintering atmosphere on the final density were studied. The various factors were assigned to an L9 orthogonal array. It was found that all the chosen sintering factors have significant effects on the final density. Optimum fractional final density of 96.14% of wrought material was achieved with a sintering temperature of 1250??C, a heating rate of 20??C min -1 and isothermal heating at 1250??C for 90 min in a vacuum atmosphere. Confirmatory experiments have produced results that lay within the 90% confidence interval. ?? 2001 Elsevier Science B.V. All rights reserved.", "author" : [ { "dropping-particle" : "", "family" : "Ji", "given" : "C. H.", "non-dropping-particle" : "", "parse-names" : false, "suffix" : "" }, { "dropping-particle" : "", "family" : "Loh", "given" : "N. H.", "non-dropping-particle" : "", "parse-names" : false, "suffix" : "" }, { "dropping-particle" : "", "family" : "Khor", "given" : "K. A.", "non-dropping-particle" : "", "parse-names" : false, "suffix" : "" }, { "dropping-particle" : "", "family" : "Tor", "given" : "S. B.", "non-dropping-particle" : "", "parse-names" : false, "suffix" : "" } ], "container-title" : "Materials Science and Engineering A", "id" : "ITEM-1", "issue" : "1-2", "issued" : { "date-parts" : [ [ "2001" ] ] }, "page" : "74-82", "title" : "Sintering study of 316L stainless steel metal injection molding parts using Taguchi method: Final density", "type" : "article-journal", "volume" : "311" }, "uris" : [ "http://www.mendeley.com/documents/?uuid=504dd649-026f-41b4-9905-57a4d0cec36c" ] } ], "mendeley" : { "formattedCitation" : "[7]", "plainTextFormattedCitation" : "[7]", "previouslyFormattedCitation" : "[7]" }, "properties" : { "noteIndex" : 0 }, "schema" : "https://github.com/citation-style-language/schema/raw/master/csl-citation.json" }</w:instrText>
      </w:r>
      <w:r w:rsidRPr="00C17B4C">
        <w:fldChar w:fldCharType="separate"/>
      </w:r>
      <w:r w:rsidR="00A10129" w:rsidRPr="00A10129">
        <w:rPr>
          <w:noProof/>
        </w:rPr>
        <w:t>[7]</w:t>
      </w:r>
      <w:r w:rsidRPr="00C17B4C">
        <w:fldChar w:fldCharType="end"/>
      </w:r>
      <w:r w:rsidRPr="00C17B4C">
        <w:t xml:space="preserve"> using Taguchi’s method in optimizing the sintering parameters with L9 orthogonal </w:t>
      </w:r>
      <w:r w:rsidR="00A10129">
        <w:t>arrays with four factors and 3-l</w:t>
      </w:r>
      <w:r w:rsidRPr="00C17B4C">
        <w:t>evel de</w:t>
      </w:r>
      <w:r w:rsidR="00A10129">
        <w:t>sign in their experimental data</w:t>
      </w:r>
      <w:r w:rsidRPr="00C17B4C">
        <w:t xml:space="preserve"> </w:t>
      </w:r>
      <w:r w:rsidRPr="00C17B4C">
        <w:fldChar w:fldCharType="begin" w:fldLock="1"/>
      </w:r>
      <w:r w:rsidR="00B555C4">
        <w:instrText>ADDIN CSL_CITATION { "citationItems" : [ { "id" : "ITEM-1", "itemData" : { "DOI" : "10.1016/j.jmatprotec.2012.03.001", "ISBN" : "0924-0136", "ISSN" : "09240136", "abstract" : "Titanium exhibits properties that are excellent for various applications but the processing routes remain expensive and difficult. Metal injection moulding is a processing route that offers reduction in costs, with the added advantage of near net-shape components. In this study, the commercially pure (CP-Ti) powder was subjected to metal injection moulding studies in order to investigate its suitability for biomedical applications. The CP-Ti with powder size of sub 45 \u03bcm was mixed with a binder which consists of a water soluble component, injection moulded and then sintered. The mechanical and impurity level properties of the final components were then determined and found to be within ASTM Grade 2 (ASTM F67) specifications for titanium. The debinding mechanisms, kinetics and chemical reactions are analysed and discussed in detail in this study. \u00a9 2012 Elsevier B.V. All rights reserved.", "author" : [ { "dropping-particle" : "", "family" : "Sidambe", "given" : "A. T.", "non-dropping-particle" : "", "parse-names" : false, "suffix" : "" }, { "dropping-particle" : "", "family" : "Figueroa", "given" : "I. A.", "non-dropping-particle" : "", "parse-names" : false, "suffix" : "" }, { "dropping-particle" : "", "family" : "Hamilton", "given" : "H. G C", "non-dropping-particle" : "", "parse-names" : false, "suffix" : "" }, { "dropping-particle" : "", "family" : "Todd", "given" : "I.", "non-dropping-particle" : "", "parse-names" : false, "suffix" : "" } ], "container-title" : "Journal of Materials Processing Technology", "id" : "ITEM-1", "issue" : "7", "issued" : { "date-parts" : [ [ "2012" ] ] }, "page" : "1591-1597", "publisher" : "Elsevier B.V.", "title" : "Metal injection moulding of CP-Ti components for biomedical applications", "type" : "article-journal", "volume" : "212" }, "uris" : [ "http://www.mendeley.com/documents/?uuid=10969dcd-a405-4f18-a859-de94ea6e9f7f" ] } ], "mendeley" : { "formattedCitation" : "[13]", "plainTextFormattedCitation" : "[13]", "previouslyFormattedCitation" : "[13]" }, "properties" : { "noteIndex" : 0 }, "schema" : "https://github.com/citation-style-language/schema/raw/master/csl-citation.json" }</w:instrText>
      </w:r>
      <w:r w:rsidRPr="00C17B4C">
        <w:fldChar w:fldCharType="separate"/>
      </w:r>
      <w:r w:rsidR="00A10129" w:rsidRPr="00A10129">
        <w:rPr>
          <w:noProof/>
        </w:rPr>
        <w:t>[13]</w:t>
      </w:r>
      <w:r w:rsidRPr="00C17B4C">
        <w:fldChar w:fldCharType="end"/>
      </w:r>
      <w:r w:rsidR="00A10129">
        <w:t xml:space="preserve"> of </w:t>
      </w:r>
      <w:r w:rsidRPr="00C17B4C">
        <w:t>sintering</w:t>
      </w:r>
      <w:r w:rsidR="00A10129">
        <w:t>.</w:t>
      </w:r>
    </w:p>
    <w:p w14:paraId="7A35FDC1" w14:textId="2FB5EC2B" w:rsidR="00C17B4C" w:rsidRPr="00C17B4C" w:rsidRDefault="00C17B4C" w:rsidP="00706E45">
      <w:r w:rsidRPr="00C17B4C">
        <w:t>Lee et al.</w:t>
      </w:r>
      <w:r w:rsidR="00A10129">
        <w:t xml:space="preserve"> </w:t>
      </w:r>
      <w:r w:rsidRPr="00C17B4C">
        <w:fldChar w:fldCharType="begin" w:fldLock="1"/>
      </w:r>
      <w:r w:rsidR="00B555C4">
        <w:instrText>ADDIN CSL_CITATION { "citationItems" : [ { "id" : "ITEM-1", "itemData" : { "DOI" : "10.1016/j.powtec.2010.02.013", "ISSN" : "0032-5910", "author" : [ { "dropping-particle" : "", "family" : "Lee", "given" : "Kyehwan", "non-dropping-particle" : "", "parse-names" : false, "suffix" : "" }, { "dropping-particle" : "De", "family" : "Hoyos", "given" : "Manuel", "non-dropping-particle" : "", "parse-names" : false, "suffix" : "" }, { "dropping-particle" : "", "family" : "Ahn", "given" : "Seokyoung", "non-dropping-particle" : "", "parse-names" : false, "suffix" : "" }, { "dropping-particle" : "", "family" : "Nambiar", "given" : "Rajiv", "non-dropping-particle" : "", "parse-names" : false, "suffix" : "" }, { "dropping-particle" : "", "family" : "Gonzalez", "given" : "Miguel A", "non-dropping-particle" : "", "parse-names" : false, "suffix" : "" }, { "dropping-particle" : "", "family" : "Jin", "given" : "Seong", "non-dropping-particle" : "", "parse-names" : false, "suffix" : "" }, { "dropping-particle" : "", "family" : "German", "given" : "Randall M", "non-dropping-particle" : "", "parse-names" : false, "suffix" : "" } ], "container-title" : "Powder Technology", "id" : "ITEM-1", "issue" : "3", "issued" : { "date-parts" : [ [ "2010" ] ] }, "page" : "128-135", "publisher" : "Elsevier B.V.", "title" : "Gas-assisted powder injection molding : A study on the effect of processing variables on gas penetration", "type" : "article-journal", "volume" : "200" }, "uris" : [ "http://www.mendeley.com/documents/?uuid=773cbeb9-3a7f-441b-9f88-e744b9ccdbb2" ] } ], "mendeley" : { "formattedCitation" : "[14]", "plainTextFormattedCitation" : "[14]", "previouslyFormattedCitation" : "[14]" }, "properties" : { "noteIndex" : 0 }, "schema" : "https://github.com/citation-style-language/schema/raw/master/csl-citation.json" }</w:instrText>
      </w:r>
      <w:r w:rsidRPr="00C17B4C">
        <w:fldChar w:fldCharType="separate"/>
      </w:r>
      <w:r w:rsidR="00A10129" w:rsidRPr="00A10129">
        <w:rPr>
          <w:noProof/>
        </w:rPr>
        <w:t>[14]</w:t>
      </w:r>
      <w:r w:rsidRPr="00C17B4C">
        <w:fldChar w:fldCharType="end"/>
      </w:r>
      <w:r w:rsidRPr="00C17B4C">
        <w:t xml:space="preserve"> implement</w:t>
      </w:r>
      <w:r w:rsidR="00A10129">
        <w:t>ing</w:t>
      </w:r>
      <w:r w:rsidRPr="00C17B4C">
        <w:t xml:space="preserve"> the Taguchi’s method by using L9 orthogonal arrays with 4 factors and 3 level design for studying the effect of gas the effect of processing variables on gas penetration during MIM. Ibrahim </w:t>
      </w:r>
      <w:r w:rsidR="005D6893">
        <w:fldChar w:fldCharType="begin" w:fldLock="1"/>
      </w:r>
      <w:r w:rsidR="005D6893">
        <w:instrText>ADDIN CSL_CITATION { "citationItems" : [ { "id" : "ITEM-1", "itemData" : { "DOI" : "10.1017/CBO9781107415324.004", "ISBN" : "9788578110796", "ISSN" : "1098-6596", "PMID" : "25246403", "abstract" : "Micro Metal Injection Molding or known as \u00b5MIM is an extension version of metal injection molding process. This technique is capable in producing high volume of micro size products with high surface dimensional accuracy, which is based on the application of micro-sized metal powder. This is due to fact that micro-sized metal powder will increase the viscosity of feeding material and thus, make the injection process more difficult. Besides, it will increase the percentage of shrinkage rate and oxygen content of sintered part. As such, this work is dedicated towards optimizing the process parameters based on the Design of Experimental technique in order to produce sintered part which is high in density and strength, low oxygen content, less retarded and minimum shrinkage rate. Binders which consist of 73vol% Polietilena Glikol (PEG), 25vol% Polimetil Metakrilate (PMMA) and 2vol% Stearic Acid are mixed together with micro size SS316L to produce homogeneous feedstock. The feedstock flow behaviour is studied through its rheological characteristics at 130-150\u00baC which is the recorded melting temperature from DSC test. Powder concentration at 61.5% can be regarded as optimum value due to its contribution to pseudoplastic characteristics, viscosity and flow behaviour indexes, low activation energy and high mouldability index which are highly required in \u00b5MIM. Consequently, the Variance Analysis method (ANOVA) is applied to the injection, solvent debinding, thermal debinding and sintering processes to determine the most significant parameters and its contribution to density and strength characteristics. Parameters with over 90% confidence level will be only considered for optimization. ANOVA test in injection process shows three significant interactions which are injection pressure, injection temperature and mold temperature. Meanwhile, the injection time and holding time constantly acted as single parameter. Interaction between injection temperature and mold temperature is the biggest contributor in both methods. The elimination of secondary binder, PEG is done through the solvent debinding process at 55-65\u00baC for 2- 6 hours bathing time. ANOVA test shows 4 significant parameters in this process which are debinding time, debinding temperature, injection time and injection pressure while no significant interaction recorded. Optimization analysis using Grey-Taguchi method indicates that debinding time is the biggest contributor, followed by debinding temperature at\u2026", "author" : [ { "dropping-particle" : "", "family" : "Ibrahim", "given" : "M.H.I", "non-dropping-particle" : "", "parse-names" : false, "suffix" : "" } ], "container-title" : "Universiti Kebangsaan Malaysia", "id" : "ITEM-1", "issued" : { "date-parts" : [ [ "2011" ] ] }, "number-of-pages" : "160", "publisher" : "Universiti Kebangsaan Malaysia", "title" : "Optimization of MicroMetal Injection Moulding Parameter by Design of Experiment Method", "type" : "thesis", "volume" : "53" }, "uris" : [ "http://www.mendeley.com/documents/?uuid=70902cf8-1e00-4641-8ad1-6eb5e8583253" ] }, { "id" : "ITEM-2", "itemData" : { "ISBN" : "9780735408715", "ISSN" : "01252526", "author" : [ { "dropping-particle" : "", "family" : "Ibrahim", "given" : "Mohd H I", "non-dropping-particle" : "", "parse-names" : false, "suffix" : "" }, { "dropping-particle" : "", "family" : "Muhamad", "given" : "Norhamidi", "non-dropping-particle" : "", "parse-names" : false, "suffix" : "" }, { "dropping-particle" : "", "family" : "Sulong", "given" : "Abu B", "non-dropping-particle" : "", "parse-names" : false, "suffix" : "" }, { "dropping-particle" : "", "family" : "Jamaludin", "given" : "Khairur R", "non-dropping-particle" : "", "parse-names" : false, "suffix" : "" } ], "container-title" : "Journal Science", "id" : "ITEM-2", "issue" : "2", "issued" : { "date-parts" : [ [ "2011" ] ] }, "page" : "231-241", "title" : "Optimization of Micro Metal Injection Molding with Multiple Performance Characteristics using Grey Relational Grade", "type" : "article-journal", "volume" : "38" }, "uris" : [ "http://www.mendeley.com/documents/?uuid=212477b3-8c58-40c9-9459-f9ea288634a7" ] } ], "mendeley" : { "formattedCitation" : "[15], [16]", "plainTextFormattedCitation" : "[15], [16]", "previouslyFormattedCitation" : "[15], [16]" }, "properties" : { "noteIndex" : 0 }, "schema" : "https://github.com/citation-style-language/schema/raw/master/csl-citation.json" }</w:instrText>
      </w:r>
      <w:r w:rsidR="005D6893">
        <w:fldChar w:fldCharType="separate"/>
      </w:r>
      <w:r w:rsidR="005D6893" w:rsidRPr="005D6893">
        <w:rPr>
          <w:noProof/>
        </w:rPr>
        <w:t>[15], [16]</w:t>
      </w:r>
      <w:r w:rsidR="005D6893">
        <w:fldChar w:fldCharType="end"/>
      </w:r>
      <w:r w:rsidRPr="00C17B4C">
        <w:t xml:space="preserve"> use Taguchi with Grey relation in optimizing the </w:t>
      </w:r>
      <w:proofErr w:type="spellStart"/>
      <w:r w:rsidRPr="00C17B4C">
        <w:t>microMIM</w:t>
      </w:r>
      <w:proofErr w:type="spellEnd"/>
      <w:r w:rsidRPr="00C17B4C">
        <w:t xml:space="preserve"> process. Chua et al.</w:t>
      </w:r>
      <w:r w:rsidRPr="00C17B4C">
        <w:fldChar w:fldCharType="begin" w:fldLock="1"/>
      </w:r>
      <w:r w:rsidR="005D6893">
        <w:instrText>ADDIN CSL_CITATION { "citationItems" : [ { "id" : "ITEM-1", "itemData" : { "ISSN" : "01266039", "author" : [ { "dropping-particle" : "", "family" : "Chua", "given" : "Muhammad Ilman Hakimi", "non-dropping-particle" : "", "parse-names" : false, "suffix" : "" }, { "dropping-particle" : "", "family" : "Sulong", "given" : "Abu Bakar", "non-dropping-particle" : "", "parse-names" : false, "suffix" : "" }, { "dropping-particle" : "", "family" : "Abdullah", "given" : "Mohd Fazuri", "non-dropping-particle" : "", "parse-names" : false, "suffix" : "" }, { "dropping-particle" : "", "family" : "Muhamad", "given" : "Norhamidi", "non-dropping-particle" : "", "parse-names" : false, "suffix" : "" } ], "container-title" : "Sains Malaysiana", "id" : "ITEM-1", "issue" : "12", "issued" : { "date-parts" : [ [ "2013" ] ] }, "page" : "1743-1750", "title" : "Optimization of injection molding and solvent debinding parameters of stainless steel powder (SS316L) based feedstock for metal injection molding", "type" : "article-journal", "volume" : "42" }, "uris" : [ "http://www.mendeley.com/documents/?uuid=9443d387-2f70-4ac6-9ef4-52753327b6f1" ] } ], "mendeley" : { "formattedCitation" : "[17]", "plainTextFormattedCitation" : "[17]", "previouslyFormattedCitation" : "[17]" }, "properties" : { "noteIndex" : 0 }, "schema" : "https://github.com/citation-style-language/schema/raw/master/csl-citation.json" }</w:instrText>
      </w:r>
      <w:r w:rsidRPr="00C17B4C">
        <w:fldChar w:fldCharType="separate"/>
      </w:r>
      <w:r w:rsidR="005D6893" w:rsidRPr="005D6893">
        <w:rPr>
          <w:noProof/>
        </w:rPr>
        <w:t>[17]</w:t>
      </w:r>
      <w:r w:rsidRPr="00C17B4C">
        <w:fldChar w:fldCharType="end"/>
      </w:r>
      <w:r w:rsidRPr="00C17B4C">
        <w:t xml:space="preserve"> optimizing the injection density and solvent process of parameters using L25 orthogonal array and found that </w:t>
      </w:r>
      <w:r w:rsidR="009D44E8" w:rsidRPr="00C17B4C">
        <w:t>mould</w:t>
      </w:r>
      <w:r w:rsidRPr="00C17B4C">
        <w:t xml:space="preserve"> temperature and powder loading are the most influential parameters for green part surface quality and injected part strength and density, respectively.</w:t>
      </w:r>
    </w:p>
    <w:p w14:paraId="0454C031" w14:textId="51FE39CB" w:rsidR="004D2D6A" w:rsidRDefault="004D2D6A" w:rsidP="00706E45">
      <w:r>
        <w:t xml:space="preserve">In this paper, 316 L stainless steel </w:t>
      </w:r>
      <w:r w:rsidR="00207E26">
        <w:t xml:space="preserve">feedstock </w:t>
      </w:r>
      <w:r w:rsidR="00A10129">
        <w:t>which contains of resta</w:t>
      </w:r>
      <w:r w:rsidR="00207E26">
        <w:t>u</w:t>
      </w:r>
      <w:r w:rsidR="00A10129">
        <w:t xml:space="preserve">rant waste lipids (RWL) and polypropylene (PP) as binder </w:t>
      </w:r>
      <w:r w:rsidR="00207E26">
        <w:t xml:space="preserve">with ratio of </w:t>
      </w:r>
      <w:r w:rsidR="005857B2">
        <w:t>40</w:t>
      </w:r>
      <w:r w:rsidR="00207E26">
        <w:t>/</w:t>
      </w:r>
      <w:r w:rsidR="005857B2">
        <w:t>6</w:t>
      </w:r>
      <w:r w:rsidR="00207E26">
        <w:t xml:space="preserve">0 respectively was </w:t>
      </w:r>
      <w:r w:rsidR="009D44E8">
        <w:t>moulded</w:t>
      </w:r>
      <w:r>
        <w:t xml:space="preserve"> via </w:t>
      </w:r>
      <w:r w:rsidR="00207E26">
        <w:t xml:space="preserve">injection moulding process and </w:t>
      </w:r>
      <w:r w:rsidR="005857B2">
        <w:t xml:space="preserve">the </w:t>
      </w:r>
      <w:r w:rsidR="00207E26">
        <w:t xml:space="preserve">parameters setting was optimized using Taguchi method for obtaining the optimum density of the green compacts. Orthogonal array of L27 with 7 factors and 3 levels factor were used in determining the optimized parameter for injected optimum green density of </w:t>
      </w:r>
      <w:r w:rsidR="005857B2">
        <w:t xml:space="preserve">the </w:t>
      </w:r>
      <w:r w:rsidR="00207E26">
        <w:t>moulded parts.</w:t>
      </w:r>
    </w:p>
    <w:p w14:paraId="425DBAA5" w14:textId="77777777" w:rsidR="009D69BF" w:rsidRDefault="004D2D6A" w:rsidP="00706E45">
      <w:pPr>
        <w:pStyle w:val="Heading2"/>
      </w:pPr>
      <w:r w:rsidRPr="004D2D6A">
        <w:t>Experimental work</w:t>
      </w:r>
    </w:p>
    <w:p w14:paraId="1C75BEE5" w14:textId="127FE8E8" w:rsidR="004D2D6A" w:rsidRDefault="004D2D6A" w:rsidP="00FE2237">
      <w:r>
        <w:t>The 316L water atomized stainless steel powder used in this study ha</w:t>
      </w:r>
      <w:r w:rsidR="00373C21">
        <w:t>s</w:t>
      </w:r>
      <w:r>
        <w:t xml:space="preserve"> mean particle size of 6μm. </w:t>
      </w:r>
      <w:r w:rsidR="00373C21">
        <w:t>Particles</w:t>
      </w:r>
      <w:r>
        <w:t xml:space="preserve"> size was measured via particle analyser Fritsch </w:t>
      </w:r>
      <w:proofErr w:type="spellStart"/>
      <w:r>
        <w:t>analysette</w:t>
      </w:r>
      <w:proofErr w:type="spellEnd"/>
      <w:r>
        <w:t xml:space="preserve"> 22 compact</w:t>
      </w:r>
      <w:r w:rsidR="00373C21">
        <w:t>. The stainless steel powder has the</w:t>
      </w:r>
      <w:r>
        <w:t xml:space="preserve"> tap density of 8.0471 g/</w:t>
      </w:r>
      <w:r w:rsidRPr="00373C21">
        <w:t>cm</w:t>
      </w:r>
      <w:r w:rsidR="00373C21" w:rsidRPr="00373C21">
        <w:rPr>
          <w:szCs w:val="14"/>
          <w:vertAlign w:val="superscript"/>
        </w:rPr>
        <w:t>3</w:t>
      </w:r>
      <w:r w:rsidR="00373C21">
        <w:t xml:space="preserve"> and was </w:t>
      </w:r>
      <w:r w:rsidRPr="00373C21">
        <w:t>suppl</w:t>
      </w:r>
      <w:r w:rsidR="00373C21">
        <w:t xml:space="preserve">ied by Epson </w:t>
      </w:r>
      <w:proofErr w:type="spellStart"/>
      <w:r w:rsidR="00373C21">
        <w:t>At</w:t>
      </w:r>
      <w:r>
        <w:t>mix</w:t>
      </w:r>
      <w:proofErr w:type="spellEnd"/>
      <w:r>
        <w:t xml:space="preserve"> Japan. Figure 1 shows the powder particles size distribution and powder morphology of the 316L water atomized stainless steel. Physical properties and the chemical composit</w:t>
      </w:r>
      <w:r w:rsidR="00207E26">
        <w:t>ion of the powder</w:t>
      </w:r>
      <w:r w:rsidR="00373C21">
        <w:t xml:space="preserve"> is shown in T</w:t>
      </w:r>
      <w:r>
        <w:t>able 1.</w:t>
      </w:r>
    </w:p>
    <w:p w14:paraId="0A59FBAA" w14:textId="77777777" w:rsidR="007A0A33" w:rsidRDefault="007A0A33" w:rsidP="00FE2237"/>
    <w:p w14:paraId="3918527E" w14:textId="77777777" w:rsidR="007A0A33" w:rsidRDefault="007A0A33" w:rsidP="00FE2237"/>
    <w:p w14:paraId="75218C47" w14:textId="77777777" w:rsidR="007A0A33" w:rsidRDefault="007A0A33" w:rsidP="00FE2237"/>
    <w:p w14:paraId="230F7E33" w14:textId="77777777" w:rsidR="007A0A33" w:rsidRDefault="007A0A33" w:rsidP="00FE2237"/>
    <w:p w14:paraId="24692E7D" w14:textId="77777777" w:rsidR="007A0A33" w:rsidRDefault="007A0A33" w:rsidP="00FE2237"/>
    <w:p w14:paraId="72294195" w14:textId="77777777" w:rsidR="007A0A33" w:rsidRDefault="007A0A33" w:rsidP="00FE2237"/>
    <w:p w14:paraId="33C5D89B" w14:textId="77777777" w:rsidR="007A0A33" w:rsidRDefault="007A0A33" w:rsidP="00FE2237"/>
    <w:p w14:paraId="799731E3" w14:textId="77777777" w:rsidR="00F03A5F" w:rsidRDefault="00F03A5F" w:rsidP="00FE2237"/>
    <w:p w14:paraId="6C2876FC" w14:textId="77777777" w:rsidR="00FE2237" w:rsidRPr="00FE2237" w:rsidRDefault="00FE2237" w:rsidP="00FE2237">
      <w:pPr>
        <w:pStyle w:val="Caption"/>
      </w:pPr>
      <w:r w:rsidRPr="00FE2237">
        <w:lastRenderedPageBreak/>
        <w:t xml:space="preserve">Table </w:t>
      </w:r>
      <w:r w:rsidRPr="00FE2237">
        <w:fldChar w:fldCharType="begin"/>
      </w:r>
      <w:r w:rsidRPr="00FE2237">
        <w:instrText xml:space="preserve"> SEQ Table \* ARABIC </w:instrText>
      </w:r>
      <w:r w:rsidRPr="00FE2237">
        <w:fldChar w:fldCharType="separate"/>
      </w:r>
      <w:r>
        <w:rPr>
          <w:noProof/>
        </w:rPr>
        <w:t>1</w:t>
      </w:r>
      <w:r w:rsidRPr="00FE2237">
        <w:fldChar w:fldCharType="end"/>
      </w:r>
      <w:r w:rsidRPr="00FE2237">
        <w:t>: Physical properties and chemical composition of 316L stainless steel metal powder</w:t>
      </w:r>
    </w:p>
    <w:p w14:paraId="67698653" w14:textId="77777777" w:rsidR="00FE2237" w:rsidRPr="00FE2237" w:rsidRDefault="00FE2237" w:rsidP="00FE2237"/>
    <w:tbl>
      <w:tblPr>
        <w:tblW w:w="7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709"/>
        <w:gridCol w:w="850"/>
        <w:gridCol w:w="142"/>
        <w:gridCol w:w="567"/>
        <w:gridCol w:w="283"/>
        <w:gridCol w:w="567"/>
        <w:gridCol w:w="283"/>
        <w:gridCol w:w="568"/>
        <w:gridCol w:w="425"/>
        <w:gridCol w:w="425"/>
        <w:gridCol w:w="427"/>
        <w:gridCol w:w="566"/>
        <w:gridCol w:w="96"/>
        <w:gridCol w:w="612"/>
        <w:gridCol w:w="96"/>
        <w:gridCol w:w="16"/>
      </w:tblGrid>
      <w:tr w:rsidR="00FE2237" w:rsidRPr="00FE2237" w14:paraId="49C6C883" w14:textId="77777777" w:rsidTr="00F03A5F">
        <w:trPr>
          <w:gridAfter w:val="2"/>
          <w:wAfter w:w="112" w:type="dxa"/>
          <w:trHeight w:val="98"/>
        </w:trPr>
        <w:tc>
          <w:tcPr>
            <w:tcW w:w="7479" w:type="dxa"/>
            <w:gridSpan w:val="15"/>
            <w:tcBorders>
              <w:top w:val="nil"/>
              <w:left w:val="nil"/>
              <w:bottom w:val="nil"/>
              <w:right w:val="nil"/>
            </w:tcBorders>
          </w:tcPr>
          <w:p w14:paraId="565303D4" w14:textId="77777777" w:rsidR="00FE2237" w:rsidRPr="00FE2237" w:rsidRDefault="00FE2237" w:rsidP="00FE2237">
            <w:pPr>
              <w:rPr>
                <w:sz w:val="18"/>
                <w:szCs w:val="18"/>
                <w:lang w:val="en-MY"/>
              </w:rPr>
            </w:pPr>
            <w:r w:rsidRPr="00FE2237">
              <w:rPr>
                <w:b/>
                <w:bCs/>
                <w:sz w:val="18"/>
                <w:szCs w:val="18"/>
                <w:lang w:val="en-MY"/>
              </w:rPr>
              <w:t xml:space="preserve">Powder size and density </w:t>
            </w:r>
          </w:p>
        </w:tc>
      </w:tr>
      <w:tr w:rsidR="00FE2237" w:rsidRPr="00FE2237" w14:paraId="0BDE5B31" w14:textId="77777777" w:rsidTr="00F03A5F">
        <w:trPr>
          <w:trHeight w:val="292"/>
        </w:trPr>
        <w:tc>
          <w:tcPr>
            <w:tcW w:w="1668" w:type="dxa"/>
            <w:gridSpan w:val="2"/>
            <w:tcBorders>
              <w:left w:val="nil"/>
              <w:bottom w:val="single" w:sz="4" w:space="0" w:color="auto"/>
              <w:right w:val="nil"/>
            </w:tcBorders>
          </w:tcPr>
          <w:p w14:paraId="6A072407" w14:textId="77777777" w:rsidR="00FE2237" w:rsidRPr="00FE2237" w:rsidRDefault="00FE2237" w:rsidP="00F03A5F">
            <w:pPr>
              <w:ind w:firstLine="0"/>
              <w:rPr>
                <w:sz w:val="18"/>
                <w:szCs w:val="18"/>
                <w:lang w:val="en-MY"/>
              </w:rPr>
            </w:pPr>
            <w:r w:rsidRPr="00FE2237">
              <w:rPr>
                <w:sz w:val="18"/>
                <w:szCs w:val="18"/>
                <w:lang w:val="en-MY"/>
              </w:rPr>
              <w:t xml:space="preserve">Powder SS316L Epson </w:t>
            </w:r>
            <w:proofErr w:type="spellStart"/>
            <w:r w:rsidRPr="00FE2237">
              <w:rPr>
                <w:sz w:val="18"/>
                <w:szCs w:val="18"/>
                <w:lang w:val="en-MY"/>
              </w:rPr>
              <w:t>Atmix</w:t>
            </w:r>
            <w:proofErr w:type="spellEnd"/>
            <w:r w:rsidRPr="00FE2237">
              <w:rPr>
                <w:sz w:val="18"/>
                <w:szCs w:val="18"/>
                <w:lang w:val="en-MY"/>
              </w:rPr>
              <w:t xml:space="preserve"> Corp </w:t>
            </w:r>
          </w:p>
        </w:tc>
        <w:tc>
          <w:tcPr>
            <w:tcW w:w="992" w:type="dxa"/>
            <w:gridSpan w:val="2"/>
            <w:tcBorders>
              <w:left w:val="nil"/>
              <w:bottom w:val="single" w:sz="4" w:space="0" w:color="auto"/>
              <w:right w:val="nil"/>
            </w:tcBorders>
          </w:tcPr>
          <w:p w14:paraId="2EFE0399" w14:textId="77777777" w:rsidR="00FE2237" w:rsidRPr="00FE2237" w:rsidRDefault="00FE2237" w:rsidP="00FE2237">
            <w:pPr>
              <w:rPr>
                <w:sz w:val="18"/>
                <w:szCs w:val="18"/>
                <w:lang w:val="en-MY"/>
              </w:rPr>
            </w:pPr>
            <w:r w:rsidRPr="00FE2237">
              <w:rPr>
                <w:sz w:val="18"/>
                <w:szCs w:val="18"/>
                <w:lang w:val="en-MY"/>
              </w:rPr>
              <w:t>Size</w:t>
            </w:r>
          </w:p>
        </w:tc>
        <w:tc>
          <w:tcPr>
            <w:tcW w:w="850" w:type="dxa"/>
            <w:gridSpan w:val="2"/>
            <w:tcBorders>
              <w:left w:val="nil"/>
              <w:bottom w:val="single" w:sz="4" w:space="0" w:color="auto"/>
              <w:right w:val="nil"/>
            </w:tcBorders>
          </w:tcPr>
          <w:p w14:paraId="61DCE35D" w14:textId="77777777" w:rsidR="00FE2237" w:rsidRPr="00FE2237" w:rsidRDefault="00FE2237" w:rsidP="00FE2237">
            <w:pPr>
              <w:rPr>
                <w:sz w:val="18"/>
                <w:szCs w:val="18"/>
                <w:lang w:val="en-MY"/>
              </w:rPr>
            </w:pPr>
            <w:r w:rsidRPr="00FE2237">
              <w:rPr>
                <w:sz w:val="18"/>
                <w:szCs w:val="18"/>
                <w:lang w:val="en-MY"/>
              </w:rPr>
              <w:t>D10</w:t>
            </w:r>
          </w:p>
        </w:tc>
        <w:tc>
          <w:tcPr>
            <w:tcW w:w="850" w:type="dxa"/>
            <w:gridSpan w:val="2"/>
            <w:tcBorders>
              <w:left w:val="nil"/>
              <w:bottom w:val="single" w:sz="4" w:space="0" w:color="auto"/>
              <w:right w:val="nil"/>
            </w:tcBorders>
          </w:tcPr>
          <w:p w14:paraId="720B5E5E" w14:textId="77777777" w:rsidR="00FE2237" w:rsidRPr="00FE2237" w:rsidRDefault="00FE2237" w:rsidP="00FE2237">
            <w:pPr>
              <w:rPr>
                <w:sz w:val="18"/>
                <w:szCs w:val="18"/>
                <w:lang w:val="en-MY"/>
              </w:rPr>
            </w:pPr>
            <w:r w:rsidRPr="00FE2237">
              <w:rPr>
                <w:sz w:val="18"/>
                <w:szCs w:val="18"/>
                <w:lang w:val="en-MY"/>
              </w:rPr>
              <w:t>D50</w:t>
            </w:r>
          </w:p>
        </w:tc>
        <w:tc>
          <w:tcPr>
            <w:tcW w:w="993" w:type="dxa"/>
            <w:gridSpan w:val="2"/>
            <w:tcBorders>
              <w:left w:val="nil"/>
              <w:bottom w:val="single" w:sz="4" w:space="0" w:color="auto"/>
              <w:right w:val="nil"/>
            </w:tcBorders>
          </w:tcPr>
          <w:p w14:paraId="39303875" w14:textId="77777777" w:rsidR="00FE2237" w:rsidRPr="00FE2237" w:rsidRDefault="00FE2237" w:rsidP="00FE2237">
            <w:pPr>
              <w:rPr>
                <w:sz w:val="18"/>
                <w:szCs w:val="18"/>
                <w:lang w:val="en-MY"/>
              </w:rPr>
            </w:pPr>
            <w:r w:rsidRPr="00FE2237">
              <w:rPr>
                <w:sz w:val="18"/>
                <w:szCs w:val="18"/>
                <w:lang w:val="en-MY"/>
              </w:rPr>
              <w:t>D90</w:t>
            </w:r>
          </w:p>
        </w:tc>
        <w:tc>
          <w:tcPr>
            <w:tcW w:w="852" w:type="dxa"/>
            <w:gridSpan w:val="2"/>
            <w:tcBorders>
              <w:left w:val="nil"/>
              <w:bottom w:val="single" w:sz="4" w:space="0" w:color="auto"/>
              <w:right w:val="nil"/>
            </w:tcBorders>
          </w:tcPr>
          <w:p w14:paraId="09F2A12C" w14:textId="77777777" w:rsidR="00FE2237" w:rsidRPr="00FE2237" w:rsidRDefault="00FE2237" w:rsidP="00F03A5F">
            <w:pPr>
              <w:ind w:firstLine="34"/>
              <w:rPr>
                <w:sz w:val="18"/>
                <w:szCs w:val="18"/>
                <w:lang w:val="en-MY"/>
              </w:rPr>
            </w:pPr>
            <w:r w:rsidRPr="00FE2237">
              <w:rPr>
                <w:sz w:val="18"/>
                <w:szCs w:val="18"/>
                <w:lang w:val="en-MY"/>
              </w:rPr>
              <w:t>Density</w:t>
            </w:r>
          </w:p>
        </w:tc>
        <w:tc>
          <w:tcPr>
            <w:tcW w:w="662" w:type="dxa"/>
            <w:gridSpan w:val="2"/>
            <w:tcBorders>
              <w:top w:val="nil"/>
              <w:left w:val="nil"/>
              <w:bottom w:val="nil"/>
              <w:right w:val="nil"/>
            </w:tcBorders>
          </w:tcPr>
          <w:p w14:paraId="3C1DBF18" w14:textId="77777777" w:rsidR="00FE2237" w:rsidRPr="00FE2237" w:rsidRDefault="00FE2237" w:rsidP="00F03A5F">
            <w:pPr>
              <w:ind w:firstLine="0"/>
              <w:rPr>
                <w:sz w:val="18"/>
                <w:szCs w:val="18"/>
                <w:lang w:val="en-MY"/>
              </w:rPr>
            </w:pPr>
          </w:p>
        </w:tc>
        <w:tc>
          <w:tcPr>
            <w:tcW w:w="724" w:type="dxa"/>
            <w:gridSpan w:val="3"/>
            <w:tcBorders>
              <w:top w:val="nil"/>
              <w:left w:val="nil"/>
              <w:bottom w:val="nil"/>
              <w:right w:val="nil"/>
            </w:tcBorders>
          </w:tcPr>
          <w:p w14:paraId="5C38D8B4" w14:textId="77777777" w:rsidR="00FE2237" w:rsidRPr="00FE2237" w:rsidRDefault="00FE2237" w:rsidP="00FE2237">
            <w:pPr>
              <w:rPr>
                <w:sz w:val="18"/>
                <w:szCs w:val="18"/>
                <w:lang w:val="en-MY"/>
              </w:rPr>
            </w:pPr>
          </w:p>
        </w:tc>
      </w:tr>
      <w:tr w:rsidR="00F03A5F" w:rsidRPr="00FE2237" w14:paraId="0D2A9A01" w14:textId="77777777" w:rsidTr="00F03A5F">
        <w:trPr>
          <w:gridAfter w:val="1"/>
          <w:wAfter w:w="16" w:type="dxa"/>
          <w:trHeight w:val="227"/>
        </w:trPr>
        <w:tc>
          <w:tcPr>
            <w:tcW w:w="1668" w:type="dxa"/>
            <w:gridSpan w:val="2"/>
            <w:tcBorders>
              <w:left w:val="nil"/>
              <w:bottom w:val="nil"/>
              <w:right w:val="nil"/>
            </w:tcBorders>
          </w:tcPr>
          <w:p w14:paraId="6C5D2C8F" w14:textId="77777777" w:rsidR="00F03A5F" w:rsidRPr="00FE2237" w:rsidRDefault="00F03A5F" w:rsidP="00FE2237">
            <w:pPr>
              <w:rPr>
                <w:sz w:val="18"/>
                <w:szCs w:val="18"/>
                <w:lang w:val="en-MY"/>
              </w:rPr>
            </w:pPr>
            <w:r w:rsidRPr="00FE2237">
              <w:rPr>
                <w:sz w:val="18"/>
                <w:szCs w:val="18"/>
                <w:lang w:val="en-MY"/>
              </w:rPr>
              <w:t xml:space="preserve">                               </w:t>
            </w:r>
          </w:p>
        </w:tc>
        <w:tc>
          <w:tcPr>
            <w:tcW w:w="992" w:type="dxa"/>
            <w:gridSpan w:val="2"/>
            <w:tcBorders>
              <w:left w:val="nil"/>
              <w:bottom w:val="nil"/>
              <w:right w:val="nil"/>
            </w:tcBorders>
          </w:tcPr>
          <w:p w14:paraId="4D8347E9" w14:textId="77777777" w:rsidR="00F03A5F" w:rsidRPr="00FE2237" w:rsidRDefault="00F03A5F" w:rsidP="00FE2237">
            <w:pPr>
              <w:rPr>
                <w:sz w:val="18"/>
                <w:szCs w:val="18"/>
                <w:lang w:val="en-MY"/>
              </w:rPr>
            </w:pPr>
            <w:r w:rsidRPr="00FE2237">
              <w:rPr>
                <w:sz w:val="18"/>
                <w:szCs w:val="18"/>
                <w:lang w:val="en-MY"/>
              </w:rPr>
              <w:t>6.0μm</w:t>
            </w:r>
          </w:p>
        </w:tc>
        <w:tc>
          <w:tcPr>
            <w:tcW w:w="850" w:type="dxa"/>
            <w:gridSpan w:val="2"/>
            <w:tcBorders>
              <w:left w:val="nil"/>
              <w:bottom w:val="nil"/>
              <w:right w:val="nil"/>
            </w:tcBorders>
          </w:tcPr>
          <w:p w14:paraId="406A8718" w14:textId="77777777" w:rsidR="00F03A5F" w:rsidRPr="00FE2237" w:rsidRDefault="00F03A5F" w:rsidP="00F03A5F">
            <w:pPr>
              <w:ind w:firstLine="34"/>
              <w:rPr>
                <w:sz w:val="18"/>
                <w:szCs w:val="18"/>
                <w:lang w:val="en-MY"/>
              </w:rPr>
            </w:pPr>
            <w:r w:rsidRPr="00FE2237">
              <w:rPr>
                <w:sz w:val="18"/>
                <w:szCs w:val="18"/>
                <w:lang w:val="en-MY"/>
              </w:rPr>
              <w:t>2.87μm</w:t>
            </w:r>
          </w:p>
        </w:tc>
        <w:tc>
          <w:tcPr>
            <w:tcW w:w="850" w:type="dxa"/>
            <w:gridSpan w:val="2"/>
            <w:tcBorders>
              <w:left w:val="nil"/>
              <w:bottom w:val="nil"/>
              <w:right w:val="nil"/>
            </w:tcBorders>
          </w:tcPr>
          <w:p w14:paraId="51CD6834" w14:textId="77777777" w:rsidR="00F03A5F" w:rsidRPr="00FE2237" w:rsidRDefault="00F03A5F" w:rsidP="00F03A5F">
            <w:pPr>
              <w:ind w:firstLine="34"/>
              <w:rPr>
                <w:sz w:val="18"/>
                <w:szCs w:val="18"/>
                <w:lang w:val="en-MY"/>
              </w:rPr>
            </w:pPr>
            <w:r w:rsidRPr="00FE2237">
              <w:rPr>
                <w:sz w:val="18"/>
                <w:szCs w:val="18"/>
                <w:lang w:val="en-MY"/>
              </w:rPr>
              <w:t>5.96μm</w:t>
            </w:r>
          </w:p>
        </w:tc>
        <w:tc>
          <w:tcPr>
            <w:tcW w:w="993" w:type="dxa"/>
            <w:gridSpan w:val="2"/>
            <w:tcBorders>
              <w:left w:val="nil"/>
              <w:bottom w:val="nil"/>
              <w:right w:val="nil"/>
            </w:tcBorders>
          </w:tcPr>
          <w:p w14:paraId="50236D7A" w14:textId="77777777" w:rsidR="00F03A5F" w:rsidRPr="00FE2237" w:rsidRDefault="00F03A5F" w:rsidP="00F03A5F">
            <w:pPr>
              <w:ind w:firstLine="35"/>
              <w:rPr>
                <w:sz w:val="18"/>
                <w:szCs w:val="18"/>
                <w:lang w:val="en-MY"/>
              </w:rPr>
            </w:pPr>
            <w:r w:rsidRPr="00FE2237">
              <w:rPr>
                <w:sz w:val="18"/>
                <w:szCs w:val="18"/>
                <w:lang w:val="en-MY"/>
              </w:rPr>
              <w:t>10.65μm</w:t>
            </w:r>
          </w:p>
        </w:tc>
        <w:tc>
          <w:tcPr>
            <w:tcW w:w="1514" w:type="dxa"/>
            <w:gridSpan w:val="4"/>
            <w:tcBorders>
              <w:left w:val="nil"/>
              <w:bottom w:val="nil"/>
              <w:right w:val="nil"/>
            </w:tcBorders>
          </w:tcPr>
          <w:p w14:paraId="7E301D9A" w14:textId="6988D6C5" w:rsidR="00F03A5F" w:rsidRPr="00FE2237" w:rsidRDefault="00F03A5F" w:rsidP="007A0A33">
            <w:pPr>
              <w:ind w:firstLine="0"/>
              <w:rPr>
                <w:sz w:val="18"/>
                <w:szCs w:val="18"/>
                <w:lang w:val="en-MY"/>
              </w:rPr>
            </w:pPr>
            <w:r w:rsidRPr="00FE2237">
              <w:rPr>
                <w:sz w:val="18"/>
                <w:szCs w:val="18"/>
                <w:lang w:val="en-MY"/>
              </w:rPr>
              <w:t>8.0471 g/cm</w:t>
            </w:r>
            <w:r w:rsidRPr="00FE2237">
              <w:rPr>
                <w:sz w:val="18"/>
                <w:szCs w:val="18"/>
                <w:vertAlign w:val="superscript"/>
                <w:lang w:val="en-MY"/>
              </w:rPr>
              <w:t>3</w:t>
            </w:r>
          </w:p>
        </w:tc>
        <w:tc>
          <w:tcPr>
            <w:tcW w:w="708" w:type="dxa"/>
            <w:gridSpan w:val="2"/>
            <w:tcBorders>
              <w:top w:val="nil"/>
              <w:left w:val="nil"/>
              <w:bottom w:val="nil"/>
              <w:right w:val="nil"/>
            </w:tcBorders>
          </w:tcPr>
          <w:p w14:paraId="16EC955C" w14:textId="77777777" w:rsidR="00F03A5F" w:rsidRPr="00FE2237" w:rsidRDefault="00F03A5F" w:rsidP="00FE2237">
            <w:pPr>
              <w:rPr>
                <w:sz w:val="18"/>
                <w:szCs w:val="18"/>
                <w:lang w:val="en-MY"/>
              </w:rPr>
            </w:pPr>
          </w:p>
        </w:tc>
      </w:tr>
      <w:tr w:rsidR="00FE2237" w:rsidRPr="00FE2237" w14:paraId="246FB68D" w14:textId="77777777" w:rsidTr="00FE2237">
        <w:trPr>
          <w:gridAfter w:val="2"/>
          <w:wAfter w:w="112" w:type="dxa"/>
          <w:trHeight w:val="98"/>
        </w:trPr>
        <w:tc>
          <w:tcPr>
            <w:tcW w:w="7479" w:type="dxa"/>
            <w:gridSpan w:val="15"/>
            <w:tcBorders>
              <w:top w:val="nil"/>
              <w:left w:val="nil"/>
              <w:bottom w:val="nil"/>
              <w:right w:val="nil"/>
            </w:tcBorders>
          </w:tcPr>
          <w:p w14:paraId="3662D8F4" w14:textId="77777777" w:rsidR="00FE2237" w:rsidRPr="00FE2237" w:rsidRDefault="00FE2237" w:rsidP="00FE2237">
            <w:pPr>
              <w:rPr>
                <w:b/>
                <w:bCs/>
                <w:sz w:val="18"/>
                <w:szCs w:val="18"/>
                <w:lang w:val="en-MY"/>
              </w:rPr>
            </w:pPr>
          </w:p>
          <w:p w14:paraId="3655798D" w14:textId="77777777" w:rsidR="007A0A33" w:rsidRDefault="007A0A33" w:rsidP="00FE2237">
            <w:pPr>
              <w:rPr>
                <w:b/>
                <w:bCs/>
                <w:sz w:val="18"/>
                <w:szCs w:val="18"/>
                <w:lang w:val="en-MY"/>
              </w:rPr>
            </w:pPr>
          </w:p>
          <w:p w14:paraId="0929D226" w14:textId="77777777" w:rsidR="00FE2237" w:rsidRPr="00FE2237" w:rsidRDefault="00FE2237" w:rsidP="00FE2237">
            <w:pPr>
              <w:rPr>
                <w:sz w:val="18"/>
                <w:szCs w:val="18"/>
                <w:lang w:val="en-MY"/>
              </w:rPr>
            </w:pPr>
            <w:r w:rsidRPr="00FE2237">
              <w:rPr>
                <w:b/>
                <w:bCs/>
                <w:sz w:val="18"/>
                <w:szCs w:val="18"/>
                <w:lang w:val="en-MY"/>
              </w:rPr>
              <w:t xml:space="preserve">Powder chemical composition (% </w:t>
            </w:r>
            <w:proofErr w:type="spellStart"/>
            <w:r w:rsidRPr="00FE2237">
              <w:rPr>
                <w:b/>
                <w:bCs/>
                <w:sz w:val="18"/>
                <w:szCs w:val="18"/>
                <w:lang w:val="en-MY"/>
              </w:rPr>
              <w:t>wt</w:t>
            </w:r>
            <w:proofErr w:type="spellEnd"/>
            <w:r w:rsidRPr="00FE2237">
              <w:rPr>
                <w:b/>
                <w:bCs/>
                <w:sz w:val="18"/>
                <w:szCs w:val="18"/>
                <w:lang w:val="en-MY"/>
              </w:rPr>
              <w:t xml:space="preserve">) </w:t>
            </w:r>
          </w:p>
        </w:tc>
      </w:tr>
      <w:tr w:rsidR="00FE2237" w:rsidRPr="00FE2237" w14:paraId="4D2D5A8D" w14:textId="77777777" w:rsidTr="00FE2237">
        <w:trPr>
          <w:gridAfter w:val="2"/>
          <w:wAfter w:w="112" w:type="dxa"/>
          <w:trHeight w:val="100"/>
        </w:trPr>
        <w:tc>
          <w:tcPr>
            <w:tcW w:w="959" w:type="dxa"/>
            <w:tcBorders>
              <w:top w:val="nil"/>
              <w:left w:val="nil"/>
              <w:bottom w:val="nil"/>
              <w:right w:val="nil"/>
            </w:tcBorders>
          </w:tcPr>
          <w:p w14:paraId="6CBB0248" w14:textId="77777777" w:rsidR="00FE2237" w:rsidRPr="00FE2237" w:rsidRDefault="00FE2237" w:rsidP="00FE2237">
            <w:pPr>
              <w:ind w:firstLine="0"/>
              <w:jc w:val="center"/>
              <w:rPr>
                <w:sz w:val="18"/>
                <w:szCs w:val="18"/>
                <w:lang w:val="en-MY"/>
              </w:rPr>
            </w:pPr>
            <w:r w:rsidRPr="00FE2237">
              <w:rPr>
                <w:sz w:val="18"/>
                <w:szCs w:val="18"/>
                <w:lang w:val="en-MY"/>
              </w:rPr>
              <w:t>Ci</w:t>
            </w:r>
          </w:p>
        </w:tc>
        <w:tc>
          <w:tcPr>
            <w:tcW w:w="709" w:type="dxa"/>
            <w:tcBorders>
              <w:top w:val="nil"/>
              <w:left w:val="nil"/>
              <w:bottom w:val="nil"/>
              <w:right w:val="nil"/>
            </w:tcBorders>
          </w:tcPr>
          <w:p w14:paraId="5D5373CC" w14:textId="77777777" w:rsidR="00FE2237" w:rsidRPr="00FE2237" w:rsidRDefault="00FE2237" w:rsidP="00FE2237">
            <w:pPr>
              <w:ind w:firstLine="0"/>
              <w:jc w:val="center"/>
              <w:rPr>
                <w:sz w:val="18"/>
                <w:szCs w:val="18"/>
                <w:lang w:val="en-MY"/>
              </w:rPr>
            </w:pPr>
            <w:r w:rsidRPr="00FE2237">
              <w:rPr>
                <w:sz w:val="18"/>
                <w:szCs w:val="18"/>
                <w:lang w:val="en-MY"/>
              </w:rPr>
              <w:t>Si</w:t>
            </w:r>
          </w:p>
        </w:tc>
        <w:tc>
          <w:tcPr>
            <w:tcW w:w="850" w:type="dxa"/>
            <w:tcBorders>
              <w:top w:val="nil"/>
              <w:left w:val="nil"/>
              <w:bottom w:val="nil"/>
              <w:right w:val="nil"/>
            </w:tcBorders>
          </w:tcPr>
          <w:p w14:paraId="658E4BD3" w14:textId="77777777" w:rsidR="00FE2237" w:rsidRPr="00FE2237" w:rsidRDefault="00FE2237" w:rsidP="00FE2237">
            <w:pPr>
              <w:ind w:firstLine="33"/>
              <w:jc w:val="center"/>
              <w:rPr>
                <w:sz w:val="18"/>
                <w:szCs w:val="18"/>
                <w:lang w:val="en-MY"/>
              </w:rPr>
            </w:pPr>
            <w:proofErr w:type="spellStart"/>
            <w:r w:rsidRPr="00FE2237">
              <w:rPr>
                <w:sz w:val="18"/>
                <w:szCs w:val="18"/>
                <w:lang w:val="en-MY"/>
              </w:rPr>
              <w:t>Mn</w:t>
            </w:r>
            <w:proofErr w:type="spellEnd"/>
          </w:p>
        </w:tc>
        <w:tc>
          <w:tcPr>
            <w:tcW w:w="709" w:type="dxa"/>
            <w:gridSpan w:val="2"/>
            <w:tcBorders>
              <w:top w:val="nil"/>
              <w:left w:val="nil"/>
              <w:bottom w:val="nil"/>
              <w:right w:val="nil"/>
            </w:tcBorders>
          </w:tcPr>
          <w:p w14:paraId="1EFFBB04" w14:textId="77777777" w:rsidR="00FE2237" w:rsidRPr="00FE2237" w:rsidRDefault="00FE2237" w:rsidP="00FE2237">
            <w:pPr>
              <w:ind w:firstLine="34"/>
              <w:jc w:val="center"/>
              <w:rPr>
                <w:sz w:val="18"/>
                <w:szCs w:val="18"/>
                <w:lang w:val="en-MY"/>
              </w:rPr>
            </w:pPr>
            <w:r w:rsidRPr="00FE2237">
              <w:rPr>
                <w:sz w:val="18"/>
                <w:szCs w:val="18"/>
                <w:lang w:val="en-MY"/>
              </w:rPr>
              <w:t>P</w:t>
            </w:r>
          </w:p>
        </w:tc>
        <w:tc>
          <w:tcPr>
            <w:tcW w:w="850" w:type="dxa"/>
            <w:gridSpan w:val="2"/>
            <w:tcBorders>
              <w:top w:val="nil"/>
              <w:left w:val="nil"/>
              <w:bottom w:val="nil"/>
              <w:right w:val="nil"/>
            </w:tcBorders>
          </w:tcPr>
          <w:p w14:paraId="53B6485E" w14:textId="77777777" w:rsidR="00FE2237" w:rsidRPr="00FE2237" w:rsidRDefault="00FE2237" w:rsidP="00FE2237">
            <w:pPr>
              <w:ind w:firstLine="0"/>
              <w:jc w:val="center"/>
              <w:rPr>
                <w:sz w:val="18"/>
                <w:szCs w:val="18"/>
                <w:lang w:val="en-MY"/>
              </w:rPr>
            </w:pPr>
            <w:r w:rsidRPr="00FE2237">
              <w:rPr>
                <w:sz w:val="18"/>
                <w:szCs w:val="18"/>
                <w:lang w:val="en-MY"/>
              </w:rPr>
              <w:t>S</w:t>
            </w:r>
          </w:p>
        </w:tc>
        <w:tc>
          <w:tcPr>
            <w:tcW w:w="851" w:type="dxa"/>
            <w:gridSpan w:val="2"/>
            <w:tcBorders>
              <w:top w:val="nil"/>
              <w:left w:val="nil"/>
              <w:bottom w:val="nil"/>
              <w:right w:val="nil"/>
            </w:tcBorders>
          </w:tcPr>
          <w:p w14:paraId="130315AB" w14:textId="77777777" w:rsidR="00FE2237" w:rsidRPr="00FE2237" w:rsidRDefault="00FE2237" w:rsidP="00FE2237">
            <w:pPr>
              <w:ind w:firstLine="0"/>
              <w:jc w:val="center"/>
              <w:rPr>
                <w:sz w:val="18"/>
                <w:szCs w:val="18"/>
                <w:lang w:val="en-MY"/>
              </w:rPr>
            </w:pPr>
            <w:r w:rsidRPr="00FE2237">
              <w:rPr>
                <w:sz w:val="18"/>
                <w:szCs w:val="18"/>
                <w:lang w:val="en-MY"/>
              </w:rPr>
              <w:t>Ni</w:t>
            </w:r>
          </w:p>
        </w:tc>
        <w:tc>
          <w:tcPr>
            <w:tcW w:w="850" w:type="dxa"/>
            <w:gridSpan w:val="2"/>
            <w:tcBorders>
              <w:top w:val="nil"/>
              <w:left w:val="nil"/>
              <w:bottom w:val="nil"/>
              <w:right w:val="nil"/>
            </w:tcBorders>
          </w:tcPr>
          <w:p w14:paraId="7862FA97" w14:textId="77777777" w:rsidR="00FE2237" w:rsidRPr="00FE2237" w:rsidRDefault="00FE2237" w:rsidP="00FE2237">
            <w:pPr>
              <w:ind w:firstLine="34"/>
              <w:jc w:val="center"/>
              <w:rPr>
                <w:sz w:val="18"/>
                <w:szCs w:val="18"/>
                <w:lang w:val="en-MY"/>
              </w:rPr>
            </w:pPr>
            <w:r w:rsidRPr="00FE2237">
              <w:rPr>
                <w:sz w:val="18"/>
                <w:szCs w:val="18"/>
                <w:lang w:val="en-MY"/>
              </w:rPr>
              <w:t>Cr</w:t>
            </w:r>
          </w:p>
        </w:tc>
        <w:tc>
          <w:tcPr>
            <w:tcW w:w="993" w:type="dxa"/>
            <w:gridSpan w:val="2"/>
            <w:tcBorders>
              <w:top w:val="nil"/>
              <w:left w:val="nil"/>
              <w:bottom w:val="nil"/>
              <w:right w:val="nil"/>
            </w:tcBorders>
          </w:tcPr>
          <w:p w14:paraId="083458E9" w14:textId="77777777" w:rsidR="00FE2237" w:rsidRPr="00FE2237" w:rsidRDefault="00FE2237" w:rsidP="00FE2237">
            <w:pPr>
              <w:ind w:firstLine="34"/>
              <w:jc w:val="center"/>
              <w:rPr>
                <w:sz w:val="18"/>
                <w:szCs w:val="18"/>
                <w:lang w:val="en-MY"/>
              </w:rPr>
            </w:pPr>
            <w:r w:rsidRPr="00FE2237">
              <w:rPr>
                <w:sz w:val="18"/>
                <w:szCs w:val="18"/>
                <w:lang w:val="en-MY"/>
              </w:rPr>
              <w:t>Mo</w:t>
            </w:r>
          </w:p>
        </w:tc>
        <w:tc>
          <w:tcPr>
            <w:tcW w:w="708" w:type="dxa"/>
            <w:gridSpan w:val="2"/>
            <w:tcBorders>
              <w:top w:val="nil"/>
              <w:left w:val="nil"/>
              <w:bottom w:val="nil"/>
              <w:right w:val="nil"/>
            </w:tcBorders>
          </w:tcPr>
          <w:p w14:paraId="5B43A568" w14:textId="77777777" w:rsidR="00FE2237" w:rsidRPr="00FE2237" w:rsidRDefault="00FE2237" w:rsidP="00FE2237">
            <w:pPr>
              <w:ind w:firstLine="0"/>
              <w:jc w:val="center"/>
              <w:rPr>
                <w:sz w:val="18"/>
                <w:szCs w:val="18"/>
                <w:lang w:val="en-MY"/>
              </w:rPr>
            </w:pPr>
            <w:r w:rsidRPr="00FE2237">
              <w:rPr>
                <w:sz w:val="18"/>
                <w:szCs w:val="18"/>
                <w:lang w:val="en-MY"/>
              </w:rPr>
              <w:t>Cu</w:t>
            </w:r>
          </w:p>
        </w:tc>
      </w:tr>
      <w:tr w:rsidR="00FE2237" w:rsidRPr="00FE2237" w14:paraId="371FAF8E" w14:textId="77777777" w:rsidTr="00FE2237">
        <w:trPr>
          <w:gridAfter w:val="2"/>
          <w:wAfter w:w="112" w:type="dxa"/>
          <w:trHeight w:val="100"/>
        </w:trPr>
        <w:tc>
          <w:tcPr>
            <w:tcW w:w="959" w:type="dxa"/>
            <w:tcBorders>
              <w:top w:val="nil"/>
              <w:left w:val="nil"/>
              <w:right w:val="nil"/>
            </w:tcBorders>
          </w:tcPr>
          <w:p w14:paraId="5FF7AFE8" w14:textId="77777777" w:rsidR="00FE2237" w:rsidRPr="00FE2237" w:rsidRDefault="00FE2237" w:rsidP="00FE2237">
            <w:pPr>
              <w:ind w:firstLine="0"/>
              <w:jc w:val="center"/>
              <w:rPr>
                <w:sz w:val="18"/>
                <w:szCs w:val="18"/>
                <w:lang w:val="en-MY"/>
              </w:rPr>
            </w:pPr>
            <w:r w:rsidRPr="00FE2237">
              <w:rPr>
                <w:sz w:val="18"/>
                <w:szCs w:val="18"/>
                <w:lang w:val="en-MY"/>
              </w:rPr>
              <w:t>0.027</w:t>
            </w:r>
          </w:p>
        </w:tc>
        <w:tc>
          <w:tcPr>
            <w:tcW w:w="709" w:type="dxa"/>
            <w:tcBorders>
              <w:top w:val="nil"/>
              <w:left w:val="nil"/>
              <w:right w:val="nil"/>
            </w:tcBorders>
          </w:tcPr>
          <w:p w14:paraId="3C244B92" w14:textId="77777777" w:rsidR="00FE2237" w:rsidRPr="00FE2237" w:rsidRDefault="00FE2237" w:rsidP="00FE2237">
            <w:pPr>
              <w:ind w:firstLine="34"/>
              <w:jc w:val="center"/>
              <w:rPr>
                <w:sz w:val="18"/>
                <w:szCs w:val="18"/>
                <w:lang w:val="en-MY"/>
              </w:rPr>
            </w:pPr>
            <w:r w:rsidRPr="00FE2237">
              <w:rPr>
                <w:sz w:val="18"/>
                <w:szCs w:val="18"/>
                <w:lang w:val="en-MY"/>
              </w:rPr>
              <w:t>0.84</w:t>
            </w:r>
          </w:p>
        </w:tc>
        <w:tc>
          <w:tcPr>
            <w:tcW w:w="850" w:type="dxa"/>
            <w:tcBorders>
              <w:top w:val="nil"/>
              <w:left w:val="nil"/>
              <w:right w:val="nil"/>
            </w:tcBorders>
          </w:tcPr>
          <w:p w14:paraId="5773F648" w14:textId="77777777" w:rsidR="00FE2237" w:rsidRPr="00FE2237" w:rsidRDefault="00FE2237" w:rsidP="00FE2237">
            <w:pPr>
              <w:ind w:firstLine="33"/>
              <w:jc w:val="center"/>
              <w:rPr>
                <w:sz w:val="18"/>
                <w:szCs w:val="18"/>
                <w:lang w:val="en-MY"/>
              </w:rPr>
            </w:pPr>
            <w:r w:rsidRPr="00FE2237">
              <w:rPr>
                <w:sz w:val="18"/>
                <w:szCs w:val="18"/>
                <w:lang w:val="en-MY"/>
              </w:rPr>
              <w:t>0.19</w:t>
            </w:r>
          </w:p>
        </w:tc>
        <w:tc>
          <w:tcPr>
            <w:tcW w:w="709" w:type="dxa"/>
            <w:gridSpan w:val="2"/>
            <w:tcBorders>
              <w:top w:val="nil"/>
              <w:left w:val="nil"/>
              <w:right w:val="nil"/>
            </w:tcBorders>
          </w:tcPr>
          <w:p w14:paraId="16BC049F" w14:textId="77777777" w:rsidR="00FE2237" w:rsidRPr="00FE2237" w:rsidRDefault="00FE2237" w:rsidP="00FE2237">
            <w:pPr>
              <w:ind w:firstLine="0"/>
              <w:jc w:val="center"/>
              <w:rPr>
                <w:sz w:val="18"/>
                <w:szCs w:val="18"/>
                <w:lang w:val="en-MY"/>
              </w:rPr>
            </w:pPr>
            <w:r w:rsidRPr="00FE2237">
              <w:rPr>
                <w:sz w:val="18"/>
                <w:szCs w:val="18"/>
                <w:lang w:val="en-MY"/>
              </w:rPr>
              <w:t>0.016</w:t>
            </w:r>
          </w:p>
        </w:tc>
        <w:tc>
          <w:tcPr>
            <w:tcW w:w="850" w:type="dxa"/>
            <w:gridSpan w:val="2"/>
            <w:tcBorders>
              <w:top w:val="nil"/>
              <w:left w:val="nil"/>
              <w:right w:val="nil"/>
            </w:tcBorders>
          </w:tcPr>
          <w:p w14:paraId="460A00C8" w14:textId="77777777" w:rsidR="00FE2237" w:rsidRPr="00FE2237" w:rsidRDefault="00FE2237" w:rsidP="00FE2237">
            <w:pPr>
              <w:ind w:firstLine="34"/>
              <w:jc w:val="center"/>
              <w:rPr>
                <w:sz w:val="18"/>
                <w:szCs w:val="18"/>
                <w:lang w:val="en-MY"/>
              </w:rPr>
            </w:pPr>
            <w:r w:rsidRPr="00FE2237">
              <w:rPr>
                <w:sz w:val="18"/>
                <w:szCs w:val="18"/>
                <w:lang w:val="en-MY"/>
              </w:rPr>
              <w:t>0.012</w:t>
            </w:r>
          </w:p>
        </w:tc>
        <w:tc>
          <w:tcPr>
            <w:tcW w:w="851" w:type="dxa"/>
            <w:gridSpan w:val="2"/>
            <w:tcBorders>
              <w:top w:val="nil"/>
              <w:left w:val="nil"/>
              <w:right w:val="nil"/>
            </w:tcBorders>
          </w:tcPr>
          <w:p w14:paraId="08CCDB44" w14:textId="77777777" w:rsidR="00FE2237" w:rsidRPr="00FE2237" w:rsidRDefault="00FE2237" w:rsidP="00FE2237">
            <w:pPr>
              <w:ind w:firstLine="34"/>
              <w:jc w:val="center"/>
              <w:rPr>
                <w:sz w:val="18"/>
                <w:szCs w:val="18"/>
                <w:lang w:val="en-MY"/>
              </w:rPr>
            </w:pPr>
            <w:r w:rsidRPr="00FE2237">
              <w:rPr>
                <w:sz w:val="18"/>
                <w:szCs w:val="18"/>
                <w:lang w:val="en-MY"/>
              </w:rPr>
              <w:t>12.20</w:t>
            </w:r>
          </w:p>
        </w:tc>
        <w:tc>
          <w:tcPr>
            <w:tcW w:w="850" w:type="dxa"/>
            <w:gridSpan w:val="2"/>
            <w:tcBorders>
              <w:top w:val="nil"/>
              <w:left w:val="nil"/>
              <w:right w:val="nil"/>
            </w:tcBorders>
          </w:tcPr>
          <w:p w14:paraId="360474AE" w14:textId="77777777" w:rsidR="00FE2237" w:rsidRPr="00FE2237" w:rsidRDefault="00FE2237" w:rsidP="00FE2237">
            <w:pPr>
              <w:ind w:firstLine="0"/>
              <w:jc w:val="center"/>
              <w:rPr>
                <w:sz w:val="18"/>
                <w:szCs w:val="18"/>
                <w:lang w:val="en-MY"/>
              </w:rPr>
            </w:pPr>
            <w:r w:rsidRPr="00FE2237">
              <w:rPr>
                <w:sz w:val="18"/>
                <w:szCs w:val="18"/>
                <w:lang w:val="en-MY"/>
              </w:rPr>
              <w:t>16.40</w:t>
            </w:r>
          </w:p>
        </w:tc>
        <w:tc>
          <w:tcPr>
            <w:tcW w:w="993" w:type="dxa"/>
            <w:gridSpan w:val="2"/>
            <w:tcBorders>
              <w:top w:val="nil"/>
              <w:left w:val="nil"/>
              <w:right w:val="nil"/>
            </w:tcBorders>
          </w:tcPr>
          <w:p w14:paraId="63FCFACB" w14:textId="77777777" w:rsidR="00FE2237" w:rsidRPr="00FE2237" w:rsidRDefault="00FE2237" w:rsidP="00FE2237">
            <w:pPr>
              <w:ind w:firstLine="34"/>
              <w:jc w:val="center"/>
              <w:rPr>
                <w:sz w:val="18"/>
                <w:szCs w:val="18"/>
                <w:lang w:val="en-MY"/>
              </w:rPr>
            </w:pPr>
            <w:r w:rsidRPr="00FE2237">
              <w:rPr>
                <w:sz w:val="18"/>
                <w:szCs w:val="18"/>
                <w:lang w:val="en-MY"/>
              </w:rPr>
              <w:t>2.10</w:t>
            </w:r>
          </w:p>
        </w:tc>
        <w:tc>
          <w:tcPr>
            <w:tcW w:w="708" w:type="dxa"/>
            <w:gridSpan w:val="2"/>
            <w:tcBorders>
              <w:top w:val="nil"/>
              <w:left w:val="nil"/>
              <w:right w:val="nil"/>
            </w:tcBorders>
          </w:tcPr>
          <w:p w14:paraId="7B2E37CD" w14:textId="77777777" w:rsidR="00FE2237" w:rsidRPr="00FE2237" w:rsidRDefault="00FE2237" w:rsidP="00FE2237">
            <w:pPr>
              <w:ind w:firstLine="0"/>
              <w:jc w:val="center"/>
              <w:rPr>
                <w:sz w:val="18"/>
                <w:szCs w:val="18"/>
                <w:lang w:val="en-MY"/>
              </w:rPr>
            </w:pPr>
            <w:r w:rsidRPr="00FE2237">
              <w:rPr>
                <w:sz w:val="18"/>
                <w:szCs w:val="18"/>
                <w:lang w:val="en-MY"/>
              </w:rPr>
              <w:t>0.03</w:t>
            </w:r>
          </w:p>
        </w:tc>
      </w:tr>
    </w:tbl>
    <w:p w14:paraId="559EACA2" w14:textId="77777777" w:rsidR="00FE2237" w:rsidRPr="00FE2237" w:rsidRDefault="00FE2237" w:rsidP="00FE2237">
      <w:pPr>
        <w:jc w:val="center"/>
        <w:rPr>
          <w:iCs/>
          <w:lang w:val="en-US"/>
        </w:rPr>
      </w:pPr>
    </w:p>
    <w:p w14:paraId="76386285" w14:textId="77777777" w:rsidR="00FE2237" w:rsidRDefault="00FE2237" w:rsidP="00FE2237"/>
    <w:p w14:paraId="6C291EF8" w14:textId="19DB1449" w:rsidR="004D2D6A" w:rsidRDefault="00E01C45" w:rsidP="00FE2237">
      <w:pPr>
        <w:pStyle w:val="BodytextIndented"/>
        <w:ind w:firstLine="0"/>
      </w:pPr>
      <w:r>
        <w:rPr>
          <w:noProof/>
          <w:lang w:val="en-MY" w:eastAsia="en-MY"/>
        </w:rPr>
        <w:drawing>
          <wp:inline distT="0" distB="0" distL="0" distR="0" wp14:anchorId="41061F43" wp14:editId="4D6AB520">
            <wp:extent cx="2299335" cy="2098040"/>
            <wp:effectExtent l="0" t="0" r="1206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300112" cy="2098749"/>
                    </a:xfrm>
                    <a:prstGeom prst="rect">
                      <a:avLst/>
                    </a:prstGeom>
                    <a:noFill/>
                    <a:ln>
                      <a:noFill/>
                    </a:ln>
                  </pic:spPr>
                </pic:pic>
              </a:graphicData>
            </a:graphic>
          </wp:inline>
        </w:drawing>
      </w:r>
      <w:r w:rsidR="00F03A5F">
        <w:t xml:space="preserve"> </w:t>
      </w:r>
      <w:r>
        <w:rPr>
          <w:noProof/>
          <w:lang w:val="en-MY" w:eastAsia="en-MY"/>
        </w:rPr>
        <w:drawing>
          <wp:inline distT="0" distB="0" distL="0" distR="0" wp14:anchorId="0DBCAC91" wp14:editId="0B8D1D9D">
            <wp:extent cx="2299335" cy="2061210"/>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299412" cy="2061279"/>
                    </a:xfrm>
                    <a:prstGeom prst="rect">
                      <a:avLst/>
                    </a:prstGeom>
                    <a:noFill/>
                    <a:ln>
                      <a:noFill/>
                    </a:ln>
                  </pic:spPr>
                </pic:pic>
              </a:graphicData>
            </a:graphic>
          </wp:inline>
        </w:drawing>
      </w:r>
    </w:p>
    <w:p w14:paraId="009610C0" w14:textId="33997A4E" w:rsidR="004D2D6A" w:rsidRPr="004D2D6A" w:rsidRDefault="004D2D6A" w:rsidP="00F03A5F">
      <w:pPr>
        <w:pStyle w:val="BodytextIndented"/>
        <w:numPr>
          <w:ilvl w:val="0"/>
          <w:numId w:val="5"/>
        </w:numPr>
        <w:ind w:left="0" w:firstLine="0"/>
        <w:jc w:val="center"/>
      </w:pPr>
      <w:r>
        <w:t xml:space="preserve">            </w:t>
      </w:r>
      <w:r w:rsidR="00F03A5F">
        <w:t xml:space="preserve">             </w:t>
      </w:r>
      <w:r>
        <w:t xml:space="preserve">                              (b)</w:t>
      </w:r>
    </w:p>
    <w:p w14:paraId="180D4495" w14:textId="77777777" w:rsidR="004D2D6A" w:rsidRDefault="004D2D6A">
      <w:pPr>
        <w:pStyle w:val="BodytextIndented"/>
      </w:pPr>
    </w:p>
    <w:p w14:paraId="500CCFC3" w14:textId="46710D45" w:rsidR="004D2D6A" w:rsidRPr="00997833" w:rsidRDefault="004D2D6A" w:rsidP="00F03A5F">
      <w:pPr>
        <w:pStyle w:val="Caption"/>
        <w:ind w:firstLine="0"/>
        <w:jc w:val="both"/>
      </w:pPr>
      <w:r w:rsidRPr="00997833">
        <w:t>Fi</w:t>
      </w:r>
      <w:r w:rsidR="00997833" w:rsidRPr="00997833">
        <w:t>g.</w:t>
      </w:r>
      <w:r w:rsidRPr="00997833">
        <w:t xml:space="preserve"> </w:t>
      </w:r>
      <w:r w:rsidRPr="00997833">
        <w:fldChar w:fldCharType="begin"/>
      </w:r>
      <w:r w:rsidRPr="00997833">
        <w:instrText xml:space="preserve"> SEQ Figure \* ARABIC </w:instrText>
      </w:r>
      <w:r w:rsidRPr="00997833">
        <w:fldChar w:fldCharType="separate"/>
      </w:r>
      <w:r w:rsidR="000B6B00" w:rsidRPr="00997833">
        <w:rPr>
          <w:noProof/>
        </w:rPr>
        <w:t>1</w:t>
      </w:r>
      <w:r w:rsidRPr="00997833">
        <w:fldChar w:fldCharType="end"/>
      </w:r>
      <w:r w:rsidR="00B463AF" w:rsidRPr="00997833">
        <w:t xml:space="preserve">: </w:t>
      </w:r>
      <w:r w:rsidR="00B463AF" w:rsidRPr="006D20C1">
        <w:rPr>
          <w:b w:val="0"/>
        </w:rPr>
        <w:t>(a) Particle size distribution and (b) SEM image of water atomised 316L stainless steel powder (PF-10F)</w:t>
      </w:r>
    </w:p>
    <w:p w14:paraId="21EC478A" w14:textId="77777777" w:rsidR="00590B72" w:rsidRPr="006D20C1" w:rsidRDefault="00590B72" w:rsidP="001E479A">
      <w:pPr>
        <w:pStyle w:val="BodytextIndented"/>
        <w:ind w:firstLine="0"/>
        <w:rPr>
          <w:sz w:val="20"/>
        </w:rPr>
      </w:pPr>
    </w:p>
    <w:p w14:paraId="75828CE1" w14:textId="77777777" w:rsidR="00B463AF" w:rsidRPr="006D20C1" w:rsidRDefault="00B463AF">
      <w:pPr>
        <w:pStyle w:val="BodytextIndented"/>
        <w:rPr>
          <w:sz w:val="20"/>
        </w:rPr>
      </w:pPr>
    </w:p>
    <w:p w14:paraId="2C639823" w14:textId="77777777" w:rsidR="00AE31D3" w:rsidRDefault="00AE31D3" w:rsidP="00AE31D3">
      <w:pPr>
        <w:pStyle w:val="Caption"/>
        <w:keepNext/>
        <w:rPr>
          <w:b w:val="0"/>
          <w:szCs w:val="22"/>
        </w:rPr>
      </w:pPr>
      <w:r>
        <w:t xml:space="preserve">Table </w:t>
      </w:r>
      <w:r>
        <w:fldChar w:fldCharType="begin"/>
      </w:r>
      <w:r>
        <w:instrText xml:space="preserve"> SEQ Table \* ARABIC </w:instrText>
      </w:r>
      <w:r>
        <w:fldChar w:fldCharType="separate"/>
      </w:r>
      <w:r w:rsidR="000B6B00">
        <w:rPr>
          <w:noProof/>
        </w:rPr>
        <w:t>2</w:t>
      </w:r>
      <w:r>
        <w:fldChar w:fldCharType="end"/>
      </w:r>
      <w:r>
        <w:t xml:space="preserve">: </w:t>
      </w:r>
      <w:r w:rsidRPr="00AE31D3">
        <w:rPr>
          <w:b w:val="0"/>
          <w:szCs w:val="22"/>
        </w:rPr>
        <w:t>Binder composition and thermal properties of binder components</w:t>
      </w:r>
    </w:p>
    <w:p w14:paraId="03D04F0F" w14:textId="77777777" w:rsidR="00AE31D3" w:rsidRPr="00AE31D3" w:rsidRDefault="00AE31D3" w:rsidP="00F03A5F">
      <w:pPr>
        <w:jc w:val="center"/>
      </w:pPr>
    </w:p>
    <w:tbl>
      <w:tblPr>
        <w:tblW w:w="8334" w:type="dxa"/>
        <w:jc w:val="center"/>
        <w:tblBorders>
          <w:top w:val="nil"/>
          <w:left w:val="nil"/>
          <w:bottom w:val="nil"/>
          <w:right w:val="nil"/>
        </w:tblBorders>
        <w:tblLayout w:type="fixed"/>
        <w:tblLook w:val="0000" w:firstRow="0" w:lastRow="0" w:firstColumn="0" w:lastColumn="0" w:noHBand="0" w:noVBand="0"/>
      </w:tblPr>
      <w:tblGrid>
        <w:gridCol w:w="491"/>
        <w:gridCol w:w="1600"/>
        <w:gridCol w:w="244"/>
        <w:gridCol w:w="1173"/>
        <w:gridCol w:w="102"/>
        <w:gridCol w:w="992"/>
        <w:gridCol w:w="92"/>
        <w:gridCol w:w="1326"/>
        <w:gridCol w:w="613"/>
        <w:gridCol w:w="773"/>
        <w:gridCol w:w="928"/>
      </w:tblGrid>
      <w:tr w:rsidR="00590B72" w14:paraId="30C822E5" w14:textId="77777777" w:rsidTr="00F03A5F">
        <w:trPr>
          <w:gridBefore w:val="1"/>
          <w:gridAfter w:val="1"/>
          <w:wBefore w:w="491" w:type="dxa"/>
          <w:wAfter w:w="928" w:type="dxa"/>
          <w:trHeight w:val="350"/>
          <w:jc w:val="center"/>
        </w:trPr>
        <w:tc>
          <w:tcPr>
            <w:tcW w:w="1844" w:type="dxa"/>
            <w:gridSpan w:val="2"/>
            <w:tcBorders>
              <w:top w:val="single" w:sz="4" w:space="0" w:color="auto"/>
              <w:left w:val="nil"/>
              <w:bottom w:val="single" w:sz="4" w:space="0" w:color="auto"/>
            </w:tcBorders>
          </w:tcPr>
          <w:p w14:paraId="6975ABD8" w14:textId="77777777" w:rsidR="00590B72" w:rsidRPr="00F03A5F" w:rsidRDefault="00590B72">
            <w:pPr>
              <w:pStyle w:val="Default"/>
              <w:rPr>
                <w:rFonts w:ascii="Times" w:hAnsi="Times"/>
                <w:sz w:val="20"/>
                <w:szCs w:val="20"/>
              </w:rPr>
            </w:pPr>
            <w:r w:rsidRPr="00F03A5F">
              <w:rPr>
                <w:rFonts w:ascii="Times" w:hAnsi="Times"/>
                <w:bCs/>
                <w:sz w:val="20"/>
                <w:szCs w:val="20"/>
              </w:rPr>
              <w:t xml:space="preserve">Binder </w:t>
            </w:r>
          </w:p>
        </w:tc>
        <w:tc>
          <w:tcPr>
            <w:tcW w:w="1275" w:type="dxa"/>
            <w:gridSpan w:val="2"/>
            <w:tcBorders>
              <w:top w:val="single" w:sz="4" w:space="0" w:color="auto"/>
              <w:bottom w:val="single" w:sz="4" w:space="0" w:color="auto"/>
            </w:tcBorders>
          </w:tcPr>
          <w:p w14:paraId="624E5C8D" w14:textId="77777777" w:rsidR="00590B72" w:rsidRPr="00F03A5F" w:rsidRDefault="00590B72" w:rsidP="00FC6655">
            <w:pPr>
              <w:pStyle w:val="Default"/>
              <w:jc w:val="center"/>
              <w:rPr>
                <w:rFonts w:ascii="Times" w:hAnsi="Times"/>
                <w:sz w:val="20"/>
                <w:szCs w:val="20"/>
              </w:rPr>
            </w:pPr>
            <w:r w:rsidRPr="00F03A5F">
              <w:rPr>
                <w:rFonts w:ascii="Times" w:hAnsi="Times"/>
                <w:bCs/>
                <w:sz w:val="20"/>
                <w:szCs w:val="20"/>
              </w:rPr>
              <w:t>Fraction in binder</w:t>
            </w:r>
          </w:p>
        </w:tc>
        <w:tc>
          <w:tcPr>
            <w:tcW w:w="992" w:type="dxa"/>
            <w:tcBorders>
              <w:top w:val="single" w:sz="4" w:space="0" w:color="auto"/>
              <w:bottom w:val="single" w:sz="4" w:space="0" w:color="auto"/>
            </w:tcBorders>
          </w:tcPr>
          <w:p w14:paraId="73417A51" w14:textId="77777777" w:rsidR="00590B72" w:rsidRPr="00F03A5F" w:rsidRDefault="00590B72" w:rsidP="00FC6655">
            <w:pPr>
              <w:pStyle w:val="Default"/>
              <w:jc w:val="center"/>
              <w:rPr>
                <w:rFonts w:ascii="Times" w:hAnsi="Times"/>
                <w:sz w:val="20"/>
                <w:szCs w:val="20"/>
              </w:rPr>
            </w:pPr>
            <w:r w:rsidRPr="00F03A5F">
              <w:rPr>
                <w:rFonts w:ascii="Times" w:hAnsi="Times"/>
                <w:bCs/>
                <w:sz w:val="20"/>
                <w:szCs w:val="20"/>
              </w:rPr>
              <w:t>Density (gcm</w:t>
            </w:r>
            <w:r w:rsidRPr="00F03A5F">
              <w:rPr>
                <w:rFonts w:ascii="Times" w:hAnsi="Times"/>
                <w:bCs/>
                <w:sz w:val="20"/>
                <w:szCs w:val="20"/>
                <w:vertAlign w:val="superscript"/>
              </w:rPr>
              <w:t>-3</w:t>
            </w:r>
            <w:r w:rsidRPr="00F03A5F">
              <w:rPr>
                <w:rFonts w:ascii="Times" w:hAnsi="Times"/>
                <w:bCs/>
                <w:sz w:val="20"/>
                <w:szCs w:val="20"/>
              </w:rPr>
              <w:t>)</w:t>
            </w:r>
          </w:p>
        </w:tc>
        <w:tc>
          <w:tcPr>
            <w:tcW w:w="1418" w:type="dxa"/>
            <w:gridSpan w:val="2"/>
            <w:tcBorders>
              <w:top w:val="single" w:sz="4" w:space="0" w:color="auto"/>
              <w:bottom w:val="single" w:sz="4" w:space="0" w:color="auto"/>
            </w:tcBorders>
          </w:tcPr>
          <w:p w14:paraId="31FE6140" w14:textId="77777777" w:rsidR="00590B72" w:rsidRPr="00F03A5F" w:rsidRDefault="00590B72" w:rsidP="00FC6655">
            <w:pPr>
              <w:pStyle w:val="Default"/>
              <w:jc w:val="center"/>
              <w:rPr>
                <w:rFonts w:ascii="Times" w:hAnsi="Times"/>
                <w:sz w:val="20"/>
                <w:szCs w:val="20"/>
              </w:rPr>
            </w:pPr>
            <w:r w:rsidRPr="00F03A5F">
              <w:rPr>
                <w:rFonts w:ascii="Times" w:hAnsi="Times"/>
                <w:bCs/>
                <w:sz w:val="20"/>
                <w:szCs w:val="20"/>
              </w:rPr>
              <w:t>Melting Temperature (</w:t>
            </w:r>
            <w:proofErr w:type="spellStart"/>
            <w:r w:rsidRPr="00F03A5F">
              <w:rPr>
                <w:rFonts w:ascii="Times" w:hAnsi="Times"/>
                <w:bCs/>
                <w:sz w:val="20"/>
                <w:szCs w:val="20"/>
                <w:vertAlign w:val="superscript"/>
              </w:rPr>
              <w:t>o</w:t>
            </w:r>
            <w:r w:rsidRPr="00F03A5F">
              <w:rPr>
                <w:rFonts w:ascii="Times" w:hAnsi="Times"/>
                <w:bCs/>
                <w:sz w:val="20"/>
                <w:szCs w:val="20"/>
              </w:rPr>
              <w:t>C</w:t>
            </w:r>
            <w:proofErr w:type="spellEnd"/>
            <w:r w:rsidRPr="00F03A5F">
              <w:rPr>
                <w:rFonts w:ascii="Times" w:hAnsi="Times"/>
                <w:bCs/>
                <w:sz w:val="20"/>
                <w:szCs w:val="20"/>
              </w:rPr>
              <w:t>)</w:t>
            </w:r>
          </w:p>
        </w:tc>
        <w:tc>
          <w:tcPr>
            <w:tcW w:w="1386" w:type="dxa"/>
            <w:gridSpan w:val="2"/>
            <w:tcBorders>
              <w:top w:val="single" w:sz="4" w:space="0" w:color="auto"/>
              <w:bottom w:val="single" w:sz="4" w:space="0" w:color="auto"/>
              <w:right w:val="nil"/>
            </w:tcBorders>
          </w:tcPr>
          <w:p w14:paraId="06E5966A" w14:textId="77777777" w:rsidR="00590B72" w:rsidRPr="00F03A5F" w:rsidRDefault="00590B72" w:rsidP="00FC6655">
            <w:pPr>
              <w:pStyle w:val="Default"/>
              <w:jc w:val="center"/>
              <w:rPr>
                <w:rFonts w:ascii="Times" w:hAnsi="Times"/>
                <w:sz w:val="20"/>
                <w:szCs w:val="20"/>
              </w:rPr>
            </w:pPr>
            <w:r w:rsidRPr="00F03A5F">
              <w:rPr>
                <w:rFonts w:ascii="Times" w:hAnsi="Times"/>
                <w:bCs/>
                <w:sz w:val="20"/>
                <w:szCs w:val="20"/>
              </w:rPr>
              <w:t>Degradation Range (</w:t>
            </w:r>
            <w:proofErr w:type="spellStart"/>
            <w:r w:rsidRPr="00F03A5F">
              <w:rPr>
                <w:rFonts w:ascii="Times" w:hAnsi="Times"/>
                <w:bCs/>
                <w:sz w:val="20"/>
                <w:szCs w:val="20"/>
                <w:vertAlign w:val="superscript"/>
              </w:rPr>
              <w:t>o</w:t>
            </w:r>
            <w:r w:rsidRPr="00F03A5F">
              <w:rPr>
                <w:rFonts w:ascii="Times" w:hAnsi="Times"/>
                <w:bCs/>
                <w:sz w:val="20"/>
                <w:szCs w:val="20"/>
              </w:rPr>
              <w:t>C</w:t>
            </w:r>
            <w:proofErr w:type="spellEnd"/>
            <w:r w:rsidRPr="00F03A5F">
              <w:rPr>
                <w:rFonts w:ascii="Times" w:hAnsi="Times"/>
                <w:bCs/>
                <w:sz w:val="20"/>
                <w:szCs w:val="20"/>
              </w:rPr>
              <w:t>)</w:t>
            </w:r>
          </w:p>
        </w:tc>
      </w:tr>
      <w:tr w:rsidR="00FC6655" w14:paraId="5EACDA55" w14:textId="77777777" w:rsidTr="00F03A5F">
        <w:trPr>
          <w:gridBefore w:val="1"/>
          <w:gridAfter w:val="1"/>
          <w:wBefore w:w="491" w:type="dxa"/>
          <w:wAfter w:w="928" w:type="dxa"/>
          <w:trHeight w:val="350"/>
          <w:jc w:val="center"/>
        </w:trPr>
        <w:tc>
          <w:tcPr>
            <w:tcW w:w="1844" w:type="dxa"/>
            <w:gridSpan w:val="2"/>
            <w:tcBorders>
              <w:top w:val="single" w:sz="4" w:space="0" w:color="auto"/>
              <w:left w:val="nil"/>
              <w:bottom w:val="nil"/>
            </w:tcBorders>
          </w:tcPr>
          <w:p w14:paraId="08EF827D" w14:textId="77777777" w:rsidR="00FC6655" w:rsidRPr="00F03A5F" w:rsidRDefault="00FC6655" w:rsidP="00FC6655">
            <w:pPr>
              <w:pStyle w:val="Default"/>
              <w:rPr>
                <w:rFonts w:ascii="Times" w:hAnsi="Times"/>
                <w:bCs/>
                <w:sz w:val="20"/>
                <w:szCs w:val="20"/>
              </w:rPr>
            </w:pPr>
            <w:r w:rsidRPr="00F03A5F">
              <w:rPr>
                <w:rFonts w:ascii="Times" w:hAnsi="Times"/>
                <w:bCs/>
                <w:sz w:val="20"/>
                <w:szCs w:val="20"/>
              </w:rPr>
              <w:t>Polypropylene (PP)</w:t>
            </w:r>
          </w:p>
        </w:tc>
        <w:tc>
          <w:tcPr>
            <w:tcW w:w="1275" w:type="dxa"/>
            <w:gridSpan w:val="2"/>
            <w:tcBorders>
              <w:top w:val="single" w:sz="4" w:space="0" w:color="auto"/>
              <w:bottom w:val="nil"/>
            </w:tcBorders>
          </w:tcPr>
          <w:p w14:paraId="676D99F9" w14:textId="77777777" w:rsidR="00FC6655" w:rsidRPr="00F03A5F" w:rsidRDefault="00207E26" w:rsidP="00FC6655">
            <w:pPr>
              <w:pStyle w:val="Default"/>
              <w:jc w:val="center"/>
              <w:rPr>
                <w:rFonts w:ascii="Times" w:hAnsi="Times"/>
                <w:bCs/>
                <w:sz w:val="20"/>
                <w:szCs w:val="20"/>
              </w:rPr>
            </w:pPr>
            <w:r w:rsidRPr="00F03A5F">
              <w:rPr>
                <w:rFonts w:ascii="Times" w:hAnsi="Times"/>
                <w:bCs/>
                <w:sz w:val="20"/>
                <w:szCs w:val="20"/>
              </w:rPr>
              <w:t>0.6</w:t>
            </w:r>
            <w:r w:rsidR="00BE1C3C" w:rsidRPr="00F03A5F">
              <w:rPr>
                <w:rFonts w:ascii="Times" w:hAnsi="Times"/>
                <w:bCs/>
                <w:sz w:val="20"/>
                <w:szCs w:val="20"/>
              </w:rPr>
              <w:t xml:space="preserve"> (8.3</w:t>
            </w:r>
            <w:r w:rsidR="00FC6655" w:rsidRPr="00F03A5F">
              <w:rPr>
                <w:rFonts w:ascii="Times" w:hAnsi="Times"/>
                <w:bCs/>
                <w:sz w:val="20"/>
                <w:szCs w:val="20"/>
              </w:rPr>
              <w:t>g)</w:t>
            </w:r>
          </w:p>
        </w:tc>
        <w:tc>
          <w:tcPr>
            <w:tcW w:w="992" w:type="dxa"/>
            <w:tcBorders>
              <w:top w:val="single" w:sz="4" w:space="0" w:color="auto"/>
              <w:bottom w:val="nil"/>
            </w:tcBorders>
          </w:tcPr>
          <w:p w14:paraId="72B8D7DF" w14:textId="77777777" w:rsidR="00FC6655" w:rsidRPr="00F03A5F" w:rsidRDefault="00FC6655" w:rsidP="00FC6655">
            <w:pPr>
              <w:pStyle w:val="Default"/>
              <w:jc w:val="center"/>
              <w:rPr>
                <w:rFonts w:ascii="Times" w:hAnsi="Times"/>
                <w:bCs/>
                <w:sz w:val="20"/>
                <w:szCs w:val="20"/>
              </w:rPr>
            </w:pPr>
            <w:r w:rsidRPr="00F03A5F">
              <w:rPr>
                <w:rFonts w:ascii="Times" w:hAnsi="Times"/>
                <w:bCs/>
                <w:sz w:val="20"/>
                <w:szCs w:val="20"/>
              </w:rPr>
              <w:t>0.90</w:t>
            </w:r>
          </w:p>
        </w:tc>
        <w:tc>
          <w:tcPr>
            <w:tcW w:w="1418" w:type="dxa"/>
            <w:gridSpan w:val="2"/>
            <w:tcBorders>
              <w:top w:val="single" w:sz="4" w:space="0" w:color="auto"/>
              <w:bottom w:val="nil"/>
            </w:tcBorders>
          </w:tcPr>
          <w:p w14:paraId="383E6DDD" w14:textId="77777777" w:rsidR="00FC6655" w:rsidRPr="00F03A5F" w:rsidRDefault="00FC6655" w:rsidP="00FC6655">
            <w:pPr>
              <w:pStyle w:val="Default"/>
              <w:jc w:val="center"/>
              <w:rPr>
                <w:rFonts w:ascii="Times" w:hAnsi="Times"/>
                <w:bCs/>
                <w:sz w:val="20"/>
                <w:szCs w:val="20"/>
              </w:rPr>
            </w:pPr>
            <w:r w:rsidRPr="00F03A5F">
              <w:rPr>
                <w:rFonts w:ascii="Times" w:hAnsi="Times"/>
                <w:bCs/>
                <w:sz w:val="20"/>
                <w:szCs w:val="20"/>
              </w:rPr>
              <w:t>165</w:t>
            </w:r>
          </w:p>
        </w:tc>
        <w:tc>
          <w:tcPr>
            <w:tcW w:w="1386" w:type="dxa"/>
            <w:gridSpan w:val="2"/>
            <w:tcBorders>
              <w:top w:val="single" w:sz="4" w:space="0" w:color="auto"/>
              <w:bottom w:val="nil"/>
              <w:right w:val="nil"/>
            </w:tcBorders>
          </w:tcPr>
          <w:p w14:paraId="4E0987D5" w14:textId="77777777" w:rsidR="00FC6655" w:rsidRPr="00F03A5F" w:rsidRDefault="00FC6655" w:rsidP="00FC6655">
            <w:pPr>
              <w:pStyle w:val="Default"/>
              <w:jc w:val="center"/>
              <w:rPr>
                <w:rFonts w:ascii="Times" w:hAnsi="Times"/>
                <w:bCs/>
                <w:sz w:val="20"/>
                <w:szCs w:val="20"/>
              </w:rPr>
            </w:pPr>
            <w:r w:rsidRPr="00F03A5F">
              <w:rPr>
                <w:rFonts w:ascii="Times" w:hAnsi="Times"/>
                <w:bCs/>
                <w:sz w:val="20"/>
                <w:szCs w:val="20"/>
              </w:rPr>
              <w:t>350~470</w:t>
            </w:r>
          </w:p>
        </w:tc>
      </w:tr>
      <w:tr w:rsidR="00FC6655" w14:paraId="08EA3292" w14:textId="77777777" w:rsidTr="00F03A5F">
        <w:trPr>
          <w:gridBefore w:val="1"/>
          <w:gridAfter w:val="1"/>
          <w:wBefore w:w="491" w:type="dxa"/>
          <w:wAfter w:w="928" w:type="dxa"/>
          <w:trHeight w:val="350"/>
          <w:jc w:val="center"/>
        </w:trPr>
        <w:tc>
          <w:tcPr>
            <w:tcW w:w="1844" w:type="dxa"/>
            <w:gridSpan w:val="2"/>
            <w:tcBorders>
              <w:top w:val="nil"/>
              <w:left w:val="nil"/>
              <w:bottom w:val="single" w:sz="4" w:space="0" w:color="auto"/>
            </w:tcBorders>
          </w:tcPr>
          <w:p w14:paraId="2840D48F" w14:textId="77777777" w:rsidR="00FC6655" w:rsidRPr="00F03A5F" w:rsidRDefault="00FC6655" w:rsidP="00FC6655">
            <w:pPr>
              <w:pStyle w:val="Default"/>
              <w:rPr>
                <w:rFonts w:ascii="Times" w:hAnsi="Times"/>
                <w:bCs/>
                <w:sz w:val="20"/>
                <w:szCs w:val="20"/>
              </w:rPr>
            </w:pPr>
            <w:r w:rsidRPr="00F03A5F">
              <w:rPr>
                <w:rFonts w:ascii="Times" w:hAnsi="Times"/>
                <w:bCs/>
                <w:sz w:val="20"/>
                <w:szCs w:val="20"/>
              </w:rPr>
              <w:t>RWL derivatives</w:t>
            </w:r>
          </w:p>
        </w:tc>
        <w:tc>
          <w:tcPr>
            <w:tcW w:w="1275" w:type="dxa"/>
            <w:gridSpan w:val="2"/>
            <w:tcBorders>
              <w:top w:val="nil"/>
              <w:bottom w:val="single" w:sz="4" w:space="0" w:color="auto"/>
            </w:tcBorders>
          </w:tcPr>
          <w:p w14:paraId="5A273815" w14:textId="77777777" w:rsidR="00FC6655" w:rsidRPr="00F03A5F" w:rsidRDefault="00207E26" w:rsidP="00FC6655">
            <w:pPr>
              <w:pStyle w:val="Default"/>
              <w:jc w:val="center"/>
              <w:rPr>
                <w:rFonts w:ascii="Times" w:hAnsi="Times"/>
                <w:bCs/>
                <w:sz w:val="20"/>
                <w:szCs w:val="20"/>
              </w:rPr>
            </w:pPr>
            <w:r w:rsidRPr="00F03A5F">
              <w:rPr>
                <w:rFonts w:ascii="Times" w:hAnsi="Times"/>
                <w:bCs/>
                <w:sz w:val="20"/>
                <w:szCs w:val="20"/>
              </w:rPr>
              <w:t>0.4</w:t>
            </w:r>
            <w:r w:rsidR="00BE1C3C" w:rsidRPr="00F03A5F">
              <w:rPr>
                <w:rFonts w:ascii="Times" w:hAnsi="Times"/>
                <w:bCs/>
                <w:sz w:val="20"/>
                <w:szCs w:val="20"/>
              </w:rPr>
              <w:t xml:space="preserve"> (5.6</w:t>
            </w:r>
            <w:r w:rsidR="00FC6655" w:rsidRPr="00F03A5F">
              <w:rPr>
                <w:rFonts w:ascii="Times" w:hAnsi="Times"/>
                <w:bCs/>
                <w:sz w:val="20"/>
                <w:szCs w:val="20"/>
              </w:rPr>
              <w:t>g)</w:t>
            </w:r>
          </w:p>
        </w:tc>
        <w:tc>
          <w:tcPr>
            <w:tcW w:w="992" w:type="dxa"/>
            <w:tcBorders>
              <w:top w:val="nil"/>
              <w:bottom w:val="single" w:sz="4" w:space="0" w:color="auto"/>
            </w:tcBorders>
          </w:tcPr>
          <w:p w14:paraId="2D9F5812" w14:textId="77777777" w:rsidR="00FC6655" w:rsidRPr="00F03A5F" w:rsidRDefault="00FC6655" w:rsidP="00FC6655">
            <w:pPr>
              <w:pStyle w:val="Default"/>
              <w:jc w:val="center"/>
              <w:rPr>
                <w:rFonts w:ascii="Times" w:hAnsi="Times"/>
                <w:bCs/>
                <w:sz w:val="20"/>
                <w:szCs w:val="20"/>
              </w:rPr>
            </w:pPr>
            <w:r w:rsidRPr="00F03A5F">
              <w:rPr>
                <w:rFonts w:ascii="Times" w:hAnsi="Times"/>
                <w:bCs/>
                <w:sz w:val="20"/>
                <w:szCs w:val="20"/>
              </w:rPr>
              <w:t>0.90</w:t>
            </w:r>
          </w:p>
        </w:tc>
        <w:tc>
          <w:tcPr>
            <w:tcW w:w="1418" w:type="dxa"/>
            <w:gridSpan w:val="2"/>
            <w:tcBorders>
              <w:top w:val="nil"/>
              <w:bottom w:val="single" w:sz="4" w:space="0" w:color="auto"/>
            </w:tcBorders>
          </w:tcPr>
          <w:p w14:paraId="5502673B" w14:textId="77777777" w:rsidR="00FC6655" w:rsidRPr="00F03A5F" w:rsidRDefault="00FC6655" w:rsidP="00FC6655">
            <w:pPr>
              <w:pStyle w:val="Default"/>
              <w:jc w:val="center"/>
              <w:rPr>
                <w:rFonts w:ascii="Times" w:hAnsi="Times"/>
                <w:bCs/>
                <w:sz w:val="20"/>
                <w:szCs w:val="20"/>
              </w:rPr>
            </w:pPr>
            <w:r w:rsidRPr="00F03A5F">
              <w:rPr>
                <w:rFonts w:ascii="Times" w:hAnsi="Times"/>
                <w:bCs/>
                <w:sz w:val="20"/>
                <w:szCs w:val="20"/>
              </w:rPr>
              <w:t>50</w:t>
            </w:r>
          </w:p>
        </w:tc>
        <w:tc>
          <w:tcPr>
            <w:tcW w:w="1386" w:type="dxa"/>
            <w:gridSpan w:val="2"/>
            <w:tcBorders>
              <w:top w:val="nil"/>
              <w:bottom w:val="single" w:sz="4" w:space="0" w:color="auto"/>
              <w:right w:val="nil"/>
            </w:tcBorders>
          </w:tcPr>
          <w:p w14:paraId="583F2137" w14:textId="77777777" w:rsidR="00FC6655" w:rsidRPr="00F03A5F" w:rsidRDefault="00FC6655" w:rsidP="00FC6655">
            <w:pPr>
              <w:pStyle w:val="Default"/>
              <w:jc w:val="center"/>
              <w:rPr>
                <w:rFonts w:ascii="Times" w:hAnsi="Times"/>
                <w:bCs/>
                <w:sz w:val="20"/>
                <w:szCs w:val="20"/>
              </w:rPr>
            </w:pPr>
            <w:r w:rsidRPr="00F03A5F">
              <w:rPr>
                <w:rFonts w:ascii="Times" w:hAnsi="Times"/>
                <w:bCs/>
                <w:sz w:val="20"/>
                <w:szCs w:val="20"/>
              </w:rPr>
              <w:t>270~360</w:t>
            </w:r>
          </w:p>
        </w:tc>
      </w:tr>
      <w:tr w:rsidR="00FC6655" w14:paraId="43E1B993" w14:textId="77777777" w:rsidTr="00F03A5F">
        <w:trPr>
          <w:trHeight w:val="350"/>
          <w:jc w:val="center"/>
        </w:trPr>
        <w:tc>
          <w:tcPr>
            <w:tcW w:w="2091" w:type="dxa"/>
            <w:gridSpan w:val="2"/>
            <w:tcBorders>
              <w:top w:val="nil"/>
              <w:left w:val="nil"/>
              <w:bottom w:val="nil"/>
            </w:tcBorders>
          </w:tcPr>
          <w:p w14:paraId="1BA2BA9F" w14:textId="77777777" w:rsidR="00FC6655" w:rsidRPr="00590B72" w:rsidRDefault="00FC6655" w:rsidP="00FC6655">
            <w:pPr>
              <w:pStyle w:val="Default"/>
              <w:jc w:val="center"/>
              <w:rPr>
                <w:b/>
                <w:bCs/>
                <w:sz w:val="22"/>
                <w:szCs w:val="22"/>
              </w:rPr>
            </w:pPr>
          </w:p>
        </w:tc>
        <w:tc>
          <w:tcPr>
            <w:tcW w:w="1417" w:type="dxa"/>
            <w:gridSpan w:val="2"/>
            <w:tcBorders>
              <w:top w:val="nil"/>
              <w:bottom w:val="nil"/>
            </w:tcBorders>
          </w:tcPr>
          <w:p w14:paraId="4CDE2659" w14:textId="77777777" w:rsidR="00FC6655" w:rsidRPr="00590B72" w:rsidRDefault="00FC6655" w:rsidP="00FC6655">
            <w:pPr>
              <w:pStyle w:val="Default"/>
              <w:jc w:val="center"/>
              <w:rPr>
                <w:b/>
                <w:bCs/>
                <w:sz w:val="22"/>
                <w:szCs w:val="22"/>
              </w:rPr>
            </w:pPr>
          </w:p>
        </w:tc>
        <w:tc>
          <w:tcPr>
            <w:tcW w:w="1186" w:type="dxa"/>
            <w:gridSpan w:val="3"/>
            <w:tcBorders>
              <w:top w:val="nil"/>
              <w:bottom w:val="nil"/>
            </w:tcBorders>
          </w:tcPr>
          <w:p w14:paraId="01721434" w14:textId="77777777" w:rsidR="00FC6655" w:rsidRPr="00590B72" w:rsidRDefault="00FC6655" w:rsidP="00FC6655">
            <w:pPr>
              <w:pStyle w:val="Default"/>
              <w:jc w:val="center"/>
              <w:rPr>
                <w:b/>
                <w:bCs/>
                <w:sz w:val="22"/>
                <w:szCs w:val="22"/>
              </w:rPr>
            </w:pPr>
          </w:p>
        </w:tc>
        <w:tc>
          <w:tcPr>
            <w:tcW w:w="1939" w:type="dxa"/>
            <w:gridSpan w:val="2"/>
            <w:tcBorders>
              <w:top w:val="nil"/>
              <w:bottom w:val="nil"/>
            </w:tcBorders>
          </w:tcPr>
          <w:p w14:paraId="107DC9A3" w14:textId="77777777" w:rsidR="00FC6655" w:rsidRPr="00590B72" w:rsidRDefault="00FC6655" w:rsidP="00FC6655">
            <w:pPr>
              <w:pStyle w:val="Default"/>
              <w:jc w:val="center"/>
              <w:rPr>
                <w:b/>
                <w:bCs/>
                <w:sz w:val="22"/>
                <w:szCs w:val="22"/>
              </w:rPr>
            </w:pPr>
          </w:p>
        </w:tc>
        <w:tc>
          <w:tcPr>
            <w:tcW w:w="1701" w:type="dxa"/>
            <w:gridSpan w:val="2"/>
            <w:tcBorders>
              <w:top w:val="nil"/>
              <w:bottom w:val="nil"/>
              <w:right w:val="nil"/>
            </w:tcBorders>
          </w:tcPr>
          <w:p w14:paraId="44AD3547" w14:textId="77777777" w:rsidR="00FC6655" w:rsidRPr="00590B72" w:rsidRDefault="00FC6655" w:rsidP="00FC6655">
            <w:pPr>
              <w:pStyle w:val="Default"/>
              <w:jc w:val="center"/>
              <w:rPr>
                <w:b/>
                <w:bCs/>
                <w:sz w:val="22"/>
                <w:szCs w:val="22"/>
              </w:rPr>
            </w:pPr>
          </w:p>
        </w:tc>
      </w:tr>
    </w:tbl>
    <w:p w14:paraId="45991737" w14:textId="77777777" w:rsidR="00B463AF" w:rsidRDefault="00B463AF">
      <w:pPr>
        <w:pStyle w:val="BodytextIndented"/>
      </w:pPr>
    </w:p>
    <w:p w14:paraId="1D1C7884" w14:textId="4B0C397B" w:rsidR="009D69BF" w:rsidRDefault="00590B72" w:rsidP="00F03A5F">
      <w:r w:rsidRPr="00590B72">
        <w:t xml:space="preserve">For making the feedstock, 316L stainless steel powder of 60% powder volume which is equivalent to 186.1g of powder weight along with binder </w:t>
      </w:r>
      <w:r w:rsidR="00207E26">
        <w:t>fraction</w:t>
      </w:r>
      <w:r w:rsidRPr="00590B72">
        <w:t xml:space="preserve"> shown in Table. 2 </w:t>
      </w:r>
      <w:r w:rsidR="00207E26">
        <w:t>were</w:t>
      </w:r>
      <w:r w:rsidRPr="00590B72">
        <w:t xml:space="preserve"> used. 60% </w:t>
      </w:r>
      <w:r w:rsidR="00373C21">
        <w:t xml:space="preserve">powder loading </w:t>
      </w:r>
      <w:r w:rsidRPr="00590B72">
        <w:t>was chosen because it is approximately 5% below the critical powder volume concentration</w:t>
      </w:r>
      <w:r w:rsidR="007A0A33">
        <w:t xml:space="preserve"> </w:t>
      </w:r>
      <w:r w:rsidR="00AA77B6">
        <w:fldChar w:fldCharType="begin" w:fldLock="1"/>
      </w:r>
      <w:r w:rsidR="005D6893">
        <w:instrText>ADDIN CSL_CITATION { "citationItems" : [ { "id" : "ITEM-1", "itemData" : { "ISBN" : "187895461X, 9781878954619", "author" : [ { "dropping-particle" : "", "family" : "German", "given" : "Randall M.", "non-dropping-particle" : "", "parse-names" : false, "suffix" : "" }, { "dropping-particle" : "", "family" : "Bose", "given" : "Animesh", "non-dropping-particle" : "", "parse-names" : false, "suffix" : "" } ], "id" : "ITEM-1", "issued" : { "date-parts" : [ [ "1997" ] ] }, "number-of-pages" : "413", "publisher" : "Metal powders Industries Federation", "title" : "Injection Molding of Metals and Ceramics", "type" : "book" }, "uris" : [ "http://www.mendeley.com/documents/?uuid=4f6d471e-b3e9-4ad1-9a64-0b53bc4003b2" ] } ], "mendeley" : { "formattedCitation" : "[18]", "plainTextFormattedCitation" : "[18]", "previouslyFormattedCitation" : "[18]" }, "properties" : { "noteIndex" : 0 }, "schema" : "https://github.com/citation-style-language/schema/raw/master/csl-citation.json" }</w:instrText>
      </w:r>
      <w:r w:rsidR="00AA77B6">
        <w:fldChar w:fldCharType="separate"/>
      </w:r>
      <w:r w:rsidR="005D6893" w:rsidRPr="005D6893">
        <w:rPr>
          <w:noProof/>
        </w:rPr>
        <w:t>[18]</w:t>
      </w:r>
      <w:r w:rsidR="00AA77B6">
        <w:fldChar w:fldCharType="end"/>
      </w:r>
      <w:r w:rsidRPr="00590B72">
        <w:t xml:space="preserve"> which </w:t>
      </w:r>
      <w:r w:rsidR="006E15CA">
        <w:t xml:space="preserve">in this case </w:t>
      </w:r>
      <w:r w:rsidR="006A4388">
        <w:t xml:space="preserve">Critical Powder Volume Concentration (CPVC) of the selected </w:t>
      </w:r>
      <w:r w:rsidR="006E15CA">
        <w:t xml:space="preserve">stainless steel powder was found to be </w:t>
      </w:r>
      <w:r w:rsidRPr="00590B72">
        <w:t>64.8%</w:t>
      </w:r>
      <w:r w:rsidR="007A0A33">
        <w:t xml:space="preserve"> </w:t>
      </w:r>
      <w:r w:rsidR="006E15CA">
        <w:fldChar w:fldCharType="begin" w:fldLock="1"/>
      </w:r>
      <w:r w:rsidR="00B555C4">
        <w:instrText>ADDIN CSL_CITATION { "citationItems" : [ { "id" : "ITEM-1", "itemData" : { "DOI" : "10.1017/CBO9781107415324.004", "ISBN" : "9788578110796", "ISSN" : "1098-6596", "PMID" : "25246403", "abstract" : "Micro Metal Injection Molding or known as \u00b5MIM is an extension version of metal injection molding process. This technique is capable in producing high volume of micro size products with high surface dimensional accuracy, which is based on the application of micro-sized metal powder. This is due to fact that micro-sized metal powder will increase the viscosity of feeding material and thus, make the injection process more difficult. Besides, it will increase the percentage of shrinkage rate and oxygen content of sintered part. As such, this work is dedicated towards optimizing the process parameters based on the Design of Experimental technique in order to produce sintered part which is high in density and strength, low oxygen content, less retarded and minimum shrinkage rate. Binders which consist of 73vol% Polietilena Glikol (PEG), 25vol% Polimetil Metakrilate (PMMA) and 2vol% Stearic Acid are mixed together with micro size SS316L to produce homogeneous feedstock. The feedstock flow behaviour is studied through its rheological characteristics at 130-150\u00baC which is the recorded melting temperature from DSC test. Powder concentration at 61.5% can be regarded as optimum value due to its contribution to pseudoplastic characteristics, viscosity and flow behaviour indexes, low activation energy and high mouldability index which are highly required in \u00b5MIM. Consequently, the Variance Analysis method (ANOVA) is applied to the injection, solvent debinding, thermal debinding and sintering processes to determine the most significant parameters and its contribution to density and strength characteristics. Parameters with over 90% confidence level will be only considered for optimization. ANOVA test in injection process shows three significant interactions which are injection pressure, injection temperature and mold temperature. Meanwhile, the injection time and holding time constantly acted as single parameter. Interaction between injection temperature and mold temperature is the biggest contributor in both methods. The elimination of secondary binder, PEG is done through the solvent debinding process at 55-65\u00baC for 2- 6 hours bathing time. ANOVA test shows 4 significant parameters in this process which are debinding time, debinding temperature, injection time and injection pressure while no significant interaction recorded. Optimization analysis using Grey-Taguchi method indicates that debinding time is the biggest contributor, followed by debinding temperature at\u2026", "author" : [ { "dropping-particle" : "", "family" : "Ibrahim", "given" : "M.H.I", "non-dropping-particle" : "", "parse-names" : false, "suffix" : "" } ], "container-title" : "Universiti Kebangsaan Malaysia", "id" : "ITEM-1", "issued" : { "date-parts" : [ [ "2011" ] ] }, "number-of-pages" : "160", "publisher" : "Universiti Kebangsaan Malaysia", "title" : "Optimization of MicroMetal Injection Moulding Parameter by Design of Experiment Method", "type" : "thesis", "volume" : "53" }, "uris" : [ "http://www.mendeley.com/documents/?uuid=70902cf8-1e00-4641-8ad1-6eb5e8583253" ] } ], "mendeley" : { "formattedCitation" : "[15]", "plainTextFormattedCitation" : "[15]", "previouslyFormattedCitation" : "[15]" }, "properties" : { "noteIndex" : 0 }, "schema" : "https://github.com/citation-style-language/schema/raw/master/csl-citation.json" }</w:instrText>
      </w:r>
      <w:r w:rsidR="006E15CA">
        <w:fldChar w:fldCharType="separate"/>
      </w:r>
      <w:r w:rsidR="00A10129" w:rsidRPr="00A10129">
        <w:rPr>
          <w:noProof/>
        </w:rPr>
        <w:t>[15]</w:t>
      </w:r>
      <w:r w:rsidR="006E15CA">
        <w:fldChar w:fldCharType="end"/>
      </w:r>
      <w:r w:rsidRPr="00590B72">
        <w:t xml:space="preserve">. The compound was blended using </w:t>
      </w:r>
      <w:proofErr w:type="spellStart"/>
      <w:r w:rsidRPr="00590B72">
        <w:t>Brabender</w:t>
      </w:r>
      <w:proofErr w:type="spellEnd"/>
      <w:r w:rsidRPr="00590B72">
        <w:t xml:space="preserve"> </w:t>
      </w:r>
      <w:proofErr w:type="spellStart"/>
      <w:r w:rsidRPr="00590B72">
        <w:t>Plastograph</w:t>
      </w:r>
      <w:proofErr w:type="spellEnd"/>
      <w:r w:rsidRPr="00590B72">
        <w:t xml:space="preserve"> EC mixer at temperature of 175°C with 30rpm for 90min. The compound w</w:t>
      </w:r>
      <w:r w:rsidR="00BE1C3C">
        <w:t>as</w:t>
      </w:r>
      <w:r w:rsidRPr="00590B72">
        <w:t xml:space="preserve"> left cool at the ambient atmosphere and </w:t>
      </w:r>
      <w:r w:rsidR="00BE1C3C">
        <w:t xml:space="preserve">temperature before </w:t>
      </w:r>
      <w:r w:rsidRPr="00590B72">
        <w:t>being crushed into small</w:t>
      </w:r>
      <w:r w:rsidR="006E15CA">
        <w:t>er</w:t>
      </w:r>
      <w:r w:rsidRPr="00590B72">
        <w:t xml:space="preserve"> pallets</w:t>
      </w:r>
      <w:r w:rsidR="00BE1C3C">
        <w:t xml:space="preserve"> for ease of feeding inside the injection moulding machine</w:t>
      </w:r>
      <w:r w:rsidRPr="00590B72">
        <w:t xml:space="preserve">. </w:t>
      </w:r>
    </w:p>
    <w:p w14:paraId="68482A21" w14:textId="260A0626" w:rsidR="00E255BC" w:rsidRPr="00E255BC" w:rsidRDefault="000F050D" w:rsidP="00F03A5F">
      <w:r w:rsidRPr="00AA77B6">
        <w:lastRenderedPageBreak/>
        <w:t xml:space="preserve">After </w:t>
      </w:r>
      <w:r w:rsidR="00BE1C3C">
        <w:t>crushing</w:t>
      </w:r>
      <w:r w:rsidRPr="00AA77B6">
        <w:t xml:space="preserve"> was done, the feedstock </w:t>
      </w:r>
      <w:r w:rsidR="00BE1C3C">
        <w:t>was</w:t>
      </w:r>
      <w:r w:rsidRPr="00AA77B6">
        <w:t xml:space="preserve"> </w:t>
      </w:r>
      <w:r w:rsidR="00BE1C3C">
        <w:t xml:space="preserve">fed into </w:t>
      </w:r>
      <w:r w:rsidRPr="00AA77B6">
        <w:t xml:space="preserve">horizontal injection moulding machine </w:t>
      </w:r>
      <w:r w:rsidR="007A0A33">
        <w:t xml:space="preserve">modelled </w:t>
      </w:r>
      <w:proofErr w:type="spellStart"/>
      <w:r w:rsidR="007A0A33">
        <w:t>Nissei</w:t>
      </w:r>
      <w:proofErr w:type="spellEnd"/>
      <w:r w:rsidR="007A0A33">
        <w:t xml:space="preserve"> NP7 Real Mini </w:t>
      </w:r>
      <w:r>
        <w:t>to obtain</w:t>
      </w:r>
      <w:r w:rsidRPr="00AA77B6">
        <w:t xml:space="preserve"> the g</w:t>
      </w:r>
      <w:r>
        <w:t>reen sample as shown in Figure 2</w:t>
      </w:r>
      <w:r w:rsidRPr="00AA77B6">
        <w:t xml:space="preserve">. </w:t>
      </w:r>
      <w:r w:rsidR="00E255BC" w:rsidRPr="00E255BC">
        <w:t xml:space="preserve">The </w:t>
      </w:r>
      <w:r w:rsidR="00E255BC">
        <w:t>density</w:t>
      </w:r>
      <w:r w:rsidR="00E255BC" w:rsidRPr="00E255BC">
        <w:t xml:space="preserve"> optimization was conducted by implementation of Taguchi </w:t>
      </w:r>
      <w:r w:rsidR="00E255BC">
        <w:t>orthogonal a</w:t>
      </w:r>
      <w:r w:rsidR="00E255BC" w:rsidRPr="00E255BC">
        <w:t xml:space="preserve">rray (Statistical Method). The injection process was run in 3 level design of experiment with </w:t>
      </w:r>
      <w:r w:rsidR="00E255BC">
        <w:t>7</w:t>
      </w:r>
      <w:r w:rsidR="00E255BC" w:rsidRPr="00E255BC">
        <w:t xml:space="preserve"> parameters and </w:t>
      </w:r>
      <w:r w:rsidR="00E255BC">
        <w:t>3</w:t>
      </w:r>
      <w:r w:rsidR="00E255BC" w:rsidRPr="00E255BC">
        <w:t xml:space="preserve"> trial of experiment. The parameters </w:t>
      </w:r>
      <w:r w:rsidR="008C219D">
        <w:t>a</w:t>
      </w:r>
      <w:r w:rsidR="005D2EEF">
        <w:t>nd its level is shown in Table 3</w:t>
      </w:r>
      <w:r w:rsidR="008C219D">
        <w:t xml:space="preserve">. </w:t>
      </w:r>
      <w:r w:rsidR="00E255BC" w:rsidRPr="00E255BC">
        <w:t xml:space="preserve">The results </w:t>
      </w:r>
      <w:r w:rsidR="008C219D">
        <w:t xml:space="preserve">were </w:t>
      </w:r>
      <w:proofErr w:type="spellStart"/>
      <w:r w:rsidR="00E255BC" w:rsidRPr="00E255BC">
        <w:t>analyzed</w:t>
      </w:r>
      <w:proofErr w:type="spellEnd"/>
      <w:r w:rsidR="00E255BC" w:rsidRPr="00E255BC">
        <w:t xml:space="preserve"> by using Signal to Noise Ratio (S/N ratio) terms </w:t>
      </w:r>
    </w:p>
    <w:p w14:paraId="33852D73" w14:textId="154CD172" w:rsidR="00E255BC" w:rsidRPr="00F03A5F" w:rsidRDefault="00E255BC" w:rsidP="00F03A5F">
      <w:r w:rsidRPr="00E255BC">
        <w:t xml:space="preserve">In detailed explanation, S/N ratios is help in prediction the optimum result besides improve the quality via variability reduction and improved the </w:t>
      </w:r>
      <w:r w:rsidRPr="00F03A5F">
        <w:t>measurement based on repetition</w:t>
      </w:r>
      <w:r w:rsidR="00B555C4" w:rsidRPr="00F03A5F">
        <w:t xml:space="preserve"> </w:t>
      </w:r>
      <w:r w:rsidR="00B555C4" w:rsidRPr="00F03A5F">
        <w:fldChar w:fldCharType="begin" w:fldLock="1"/>
      </w:r>
      <w:r w:rsidR="001E479A" w:rsidRPr="00F03A5F">
        <w:instrText>ADDIN CSL_CITATION { "citationItems" : [ { "id" : "ITEM-1", "itemData" : { "DOI" : "10.4028/www.scientific.net/AMM.773-774.115", "ISSN" : "1662-7482", "author" : [ { "dropping-particle" : "", "family" : "Mustafa", "given" : "N", "non-dropping-particle" : "", "parse-names" : false, "suffix" : "" }, { "dropping-particle" : "", "family" : "Ibrahim", "given" : "M H I", "non-dropping-particle" : "", "parse-names" : false, "suffix" : "" }, { "dropping-particle" : "", "family" : "Asmawi", "given" : "R", "non-dropping-particle" : "", "parse-names" : false, "suffix" : "" }, { "dropping-particle" : "", "family" : "Amin", "given" : "A M", "non-dropping-particle" : "", "parse-names" : false, "suffix" : "" }, { "dropping-particle" : "", "family" : "Masrol", "given" : "S R", "non-dropping-particle" : "", "parse-names" : false, "suffix" : "" } ], "container-title" : "Applied Mechanics and Materials", "id" : "ITEM-1", "issued" : { "date-parts" : [ [ "2015" ] ] }, "page" : "115-117", "title" : "Green Strength Optimization in Metal Injection Molding applicable with a Taguchi Method L9 (3)^4", "type" : "article-journal", "volume" : "773-774" }, "uris" : [ "http://www.mendeley.com/documents/?uuid=1cc8a093-038c-4339-80de-8c59961532e2" ] } ], "mendeley" : { "formattedCitation" : "[19]", "plainTextFormattedCitation" : "[19]", "previouslyFormattedCitation" : "[19]" }, "properties" : { "noteIndex" : 0 }, "schema" : "https://github.com/citation-style-language/schema/raw/master/csl-citation.json" }</w:instrText>
      </w:r>
      <w:r w:rsidR="00B555C4" w:rsidRPr="00F03A5F">
        <w:fldChar w:fldCharType="separate"/>
      </w:r>
      <w:r w:rsidR="005D6893" w:rsidRPr="00F03A5F">
        <w:rPr>
          <w:noProof/>
        </w:rPr>
        <w:t>[19]</w:t>
      </w:r>
      <w:r w:rsidR="00B555C4" w:rsidRPr="00F03A5F">
        <w:fldChar w:fldCharType="end"/>
      </w:r>
      <w:r w:rsidRPr="00F03A5F">
        <w:t xml:space="preserve">. Thus, paper are discussed the optimization of </w:t>
      </w:r>
      <w:r w:rsidR="008C219D" w:rsidRPr="00F03A5F">
        <w:t xml:space="preserve">optimum green density with 60% </w:t>
      </w:r>
      <w:r w:rsidRPr="00F03A5F">
        <w:t xml:space="preserve">Powder loading. The analysis </w:t>
      </w:r>
      <w:r w:rsidR="009D44E8" w:rsidRPr="00F03A5F">
        <w:t>is</w:t>
      </w:r>
      <w:r w:rsidRPr="00F03A5F">
        <w:t xml:space="preserve"> based on Signal to noise ratio or well known as S/N ratio. This analysis are based on </w:t>
      </w:r>
      <w:r w:rsidR="008C219D" w:rsidRPr="00F03A5F">
        <w:t>Nominal</w:t>
      </w:r>
      <w:r w:rsidRPr="00F03A5F">
        <w:t xml:space="preserve"> is better characteristic</w:t>
      </w:r>
      <w:r w:rsidR="005D2EEF" w:rsidRPr="00F03A5F">
        <w:t xml:space="preserve"> base on Equation 1</w:t>
      </w:r>
      <w:r w:rsidRPr="00F03A5F">
        <w:t xml:space="preserve">. </w:t>
      </w:r>
    </w:p>
    <w:p w14:paraId="172D591D" w14:textId="77777777" w:rsidR="005D2EEF" w:rsidRDefault="005D2EEF" w:rsidP="00F03A5F">
      <w:r w:rsidRPr="005D2EEF">
        <w:t xml:space="preserve">According to </w:t>
      </w:r>
      <w:r w:rsidRPr="00F35C3D">
        <w:rPr>
          <w:bCs/>
        </w:rPr>
        <w:t xml:space="preserve">Table </w:t>
      </w:r>
      <w:r w:rsidR="005200DA" w:rsidRPr="00F35C3D">
        <w:rPr>
          <w:bCs/>
        </w:rPr>
        <w:t>3</w:t>
      </w:r>
      <w:r w:rsidRPr="005D2EEF">
        <w:t xml:space="preserve">, injection pressure, 64.4 MPa has been used as the minimum pressure, which could force the feedstock to flow smoothly inside the cavities and avoiding from short mould. Mould temperature being implemented to aid the flow of the feedstock and avoiding the thermal shock of the green parts and also improve the ejection condition of the part. When the part was allowed to cool rapidly the part becomes so brittle, which slight bending from the ejector, could break the green part. Mould temperature was made slightly above the room temperature (40°C) for allowing the backbone becomes slightly flexible and could be ejected without any defects. </w:t>
      </w:r>
    </w:p>
    <w:p w14:paraId="41C07A30" w14:textId="77777777" w:rsidR="00F35C3D" w:rsidRPr="00F35C3D" w:rsidRDefault="00F35C3D" w:rsidP="00F03A5F">
      <w:r w:rsidRPr="00F35C3D">
        <w:t xml:space="preserve">Here cool time was set for allowable shrinkage, which in turn reduce the friction between the green </w:t>
      </w:r>
      <w:proofErr w:type="spellStart"/>
      <w:r w:rsidRPr="00F35C3D">
        <w:t>part</w:t>
      </w:r>
      <w:proofErr w:type="spellEnd"/>
      <w:r w:rsidRPr="00F35C3D">
        <w:t xml:space="preserve"> and the wall cavity. Injection speed was selected to promote shear rate for the feedstock to flow inside barrel. Too high in shear rate could promotes voids and binder separation. Injection time also being considered as the f</w:t>
      </w:r>
      <w:r>
        <w:t xml:space="preserve">actor here since it could avoid </w:t>
      </w:r>
      <w:r w:rsidRPr="00F35C3D">
        <w:t xml:space="preserve">jetting, cracks, flashes, and short mould associate with improper injection speed and filling time. </w:t>
      </w:r>
    </w:p>
    <w:p w14:paraId="585BBCC9" w14:textId="62CDCF2C" w:rsidR="00AA77B6" w:rsidRDefault="00F35C3D" w:rsidP="0024000D">
      <w:r w:rsidRPr="00F35C3D">
        <w:t xml:space="preserve">Packing time plays significant effect of sink mark on the surface of the green part. As mentioned before, feedstock, which has filled up the mould cavities, could experience shrinkage due to cooling conditions. With the help of proper packing time shrinkage, flashes and voids can be prevented. </w:t>
      </w:r>
    </w:p>
    <w:p w14:paraId="38972E35" w14:textId="77777777" w:rsidR="00996FDB" w:rsidRDefault="00996FDB" w:rsidP="00996FDB">
      <w:pPr>
        <w:ind w:firstLine="0"/>
      </w:pPr>
    </w:p>
    <w:p w14:paraId="62ABE6F2" w14:textId="77777777" w:rsidR="00996FDB" w:rsidRPr="00996FDB" w:rsidRDefault="00996FDB" w:rsidP="00996FDB">
      <w:pPr>
        <w:pStyle w:val="Caption"/>
      </w:pPr>
      <w:r w:rsidRPr="00996FDB">
        <w:t xml:space="preserve">Table </w:t>
      </w:r>
      <w:r w:rsidRPr="00996FDB">
        <w:fldChar w:fldCharType="begin"/>
      </w:r>
      <w:r w:rsidRPr="00996FDB">
        <w:instrText xml:space="preserve"> SEQ Table \* ARABIC </w:instrText>
      </w:r>
      <w:r w:rsidRPr="00996FDB">
        <w:fldChar w:fldCharType="separate"/>
      </w:r>
      <w:r>
        <w:rPr>
          <w:noProof/>
        </w:rPr>
        <w:t>3</w:t>
      </w:r>
      <w:r w:rsidRPr="00996FDB">
        <w:fldChar w:fldCharType="end"/>
      </w:r>
      <w:r w:rsidRPr="00996FDB">
        <w:t xml:space="preserve">: </w:t>
      </w:r>
      <w:r w:rsidRPr="006D20C1">
        <w:rPr>
          <w:b w:val="0"/>
        </w:rPr>
        <w:t xml:space="preserve">7 factors and 3 level for each factors involved in </w:t>
      </w:r>
      <w:proofErr w:type="spellStart"/>
      <w:r w:rsidRPr="006D20C1">
        <w:rPr>
          <w:b w:val="0"/>
        </w:rPr>
        <w:t>otimising</w:t>
      </w:r>
      <w:proofErr w:type="spellEnd"/>
      <w:r w:rsidRPr="006D20C1">
        <w:rPr>
          <w:b w:val="0"/>
        </w:rPr>
        <w:t xml:space="preserve"> process of injecting the green parts</w:t>
      </w:r>
    </w:p>
    <w:p w14:paraId="77C7B365" w14:textId="77777777" w:rsidR="00996FDB" w:rsidRPr="00996FDB" w:rsidRDefault="00996FDB" w:rsidP="00996FDB">
      <w:pPr>
        <w:ind w:firstLine="0"/>
      </w:pPr>
      <w:r w:rsidRPr="00996FDB">
        <w:rPr>
          <w:noProof/>
          <w:lang w:val="en-MY" w:eastAsia="en-MY"/>
        </w:rPr>
        <w:drawing>
          <wp:inline distT="0" distB="0" distL="0" distR="0" wp14:anchorId="433A0F98" wp14:editId="25751542">
            <wp:extent cx="4699635"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699635" cy="1371600"/>
                    </a:xfrm>
                    <a:prstGeom prst="rect">
                      <a:avLst/>
                    </a:prstGeom>
                    <a:noFill/>
                    <a:ln>
                      <a:noFill/>
                    </a:ln>
                  </pic:spPr>
                </pic:pic>
              </a:graphicData>
            </a:graphic>
          </wp:inline>
        </w:drawing>
      </w:r>
    </w:p>
    <w:p w14:paraId="1AD46ED0" w14:textId="77777777" w:rsidR="00996FDB" w:rsidRDefault="00996FDB" w:rsidP="00996FDB">
      <w:pPr>
        <w:ind w:firstLine="0"/>
      </w:pPr>
    </w:p>
    <w:p w14:paraId="52666321" w14:textId="77777777" w:rsidR="00024B8E" w:rsidRDefault="00024B8E" w:rsidP="008C219D">
      <w:pPr>
        <w:pStyle w:val="BodytextIndented"/>
        <w:jc w:val="center"/>
      </w:pPr>
    </w:p>
    <w:p w14:paraId="532C1341" w14:textId="77777777" w:rsidR="00F03A5F" w:rsidRDefault="00E01C45" w:rsidP="000B572F">
      <w:pPr>
        <w:pStyle w:val="BodytextIndented"/>
        <w:keepNext/>
        <w:ind w:firstLine="0"/>
        <w:jc w:val="center"/>
      </w:pPr>
      <w:r>
        <w:rPr>
          <w:noProof/>
          <w:lang w:val="en-MY" w:eastAsia="en-MY"/>
        </w:rPr>
        <w:lastRenderedPageBreak/>
        <w:drawing>
          <wp:inline distT="0" distB="0" distL="0" distR="0" wp14:anchorId="79446024" wp14:editId="1755CBD9">
            <wp:extent cx="2764273" cy="1695873"/>
            <wp:effectExtent l="0" t="0" r="4445" b="635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764273" cy="1695873"/>
                    </a:xfrm>
                    <a:prstGeom prst="rect">
                      <a:avLst/>
                    </a:prstGeom>
                    <a:noFill/>
                    <a:ln>
                      <a:noFill/>
                    </a:ln>
                  </pic:spPr>
                </pic:pic>
              </a:graphicData>
            </a:graphic>
          </wp:inline>
        </w:drawing>
      </w:r>
      <w:r w:rsidR="00E255BC">
        <w:t xml:space="preserve"> </w:t>
      </w:r>
    </w:p>
    <w:p w14:paraId="517A0791" w14:textId="0C91C426" w:rsidR="0024000D" w:rsidRDefault="0024000D" w:rsidP="0024000D">
      <w:pPr>
        <w:jc w:val="center"/>
      </w:pPr>
      <w:r>
        <w:t>(a)</w:t>
      </w:r>
    </w:p>
    <w:p w14:paraId="1B7CAC73" w14:textId="77777777" w:rsidR="00996FDB" w:rsidRDefault="00996FDB" w:rsidP="0024000D">
      <w:pPr>
        <w:jc w:val="center"/>
      </w:pPr>
    </w:p>
    <w:p w14:paraId="3CF5C959" w14:textId="5CEB97A0" w:rsidR="000B572F" w:rsidRDefault="00E01C45" w:rsidP="000B572F">
      <w:pPr>
        <w:pStyle w:val="BodytextIndented"/>
        <w:keepNext/>
        <w:ind w:firstLine="0"/>
        <w:jc w:val="center"/>
      </w:pPr>
      <w:r>
        <w:rPr>
          <w:noProof/>
          <w:lang w:val="en-MY" w:eastAsia="en-MY"/>
        </w:rPr>
        <w:drawing>
          <wp:inline distT="0" distB="0" distL="0" distR="0" wp14:anchorId="7C7C1686" wp14:editId="1E32730E">
            <wp:extent cx="2538908" cy="2170007"/>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539608" cy="2170605"/>
                    </a:xfrm>
                    <a:prstGeom prst="rect">
                      <a:avLst/>
                    </a:prstGeom>
                    <a:noFill/>
                    <a:ln>
                      <a:noFill/>
                    </a:ln>
                  </pic:spPr>
                </pic:pic>
              </a:graphicData>
            </a:graphic>
          </wp:inline>
        </w:drawing>
      </w:r>
      <w:r w:rsidR="00AA77B6">
        <w:t xml:space="preserve">    </w:t>
      </w:r>
    </w:p>
    <w:p w14:paraId="4F1E8E44" w14:textId="6244A3D6" w:rsidR="0024000D" w:rsidRDefault="0024000D" w:rsidP="0024000D">
      <w:pPr>
        <w:jc w:val="center"/>
      </w:pPr>
      <w:r>
        <w:t>(b)</w:t>
      </w:r>
    </w:p>
    <w:p w14:paraId="3C3A2570" w14:textId="77777777" w:rsidR="00AE31D3" w:rsidRDefault="00AE31D3" w:rsidP="000B572F">
      <w:pPr>
        <w:pStyle w:val="BodytextIndented"/>
        <w:keepNext/>
        <w:ind w:firstLine="0"/>
        <w:jc w:val="center"/>
      </w:pPr>
    </w:p>
    <w:p w14:paraId="1DBB05D1" w14:textId="105B422D" w:rsidR="00AA77B6" w:rsidRDefault="006D20C1" w:rsidP="0024000D">
      <w:pPr>
        <w:pStyle w:val="Caption"/>
        <w:ind w:firstLine="0"/>
        <w:jc w:val="left"/>
        <w:rPr>
          <w:b w:val="0"/>
          <w:szCs w:val="22"/>
        </w:rPr>
      </w:pPr>
      <w:r>
        <w:t>Fig.</w:t>
      </w:r>
      <w:r w:rsidR="000B572F">
        <w:t xml:space="preserve"> </w:t>
      </w:r>
      <w:r w:rsidR="000B572F">
        <w:fldChar w:fldCharType="begin"/>
      </w:r>
      <w:r w:rsidR="000B572F">
        <w:instrText xml:space="preserve"> SEQ Figure \* ARABIC </w:instrText>
      </w:r>
      <w:r w:rsidR="000B572F">
        <w:fldChar w:fldCharType="separate"/>
      </w:r>
      <w:r w:rsidR="000B6B00">
        <w:rPr>
          <w:noProof/>
        </w:rPr>
        <w:t>2</w:t>
      </w:r>
      <w:r w:rsidR="000B572F">
        <w:fldChar w:fldCharType="end"/>
      </w:r>
      <w:r>
        <w:t>.</w:t>
      </w:r>
      <w:r w:rsidR="00AE31D3">
        <w:t xml:space="preserve"> </w:t>
      </w:r>
      <w:r w:rsidR="00E255BC">
        <w:rPr>
          <w:b w:val="0"/>
          <w:szCs w:val="22"/>
        </w:rPr>
        <w:t>(a) Injection</w:t>
      </w:r>
      <w:r w:rsidR="00AE31D3" w:rsidRPr="00AE31D3">
        <w:rPr>
          <w:b w:val="0"/>
          <w:szCs w:val="22"/>
        </w:rPr>
        <w:t xml:space="preserve"> </w:t>
      </w:r>
      <w:r w:rsidR="00E255BC">
        <w:rPr>
          <w:b w:val="0"/>
          <w:szCs w:val="22"/>
        </w:rPr>
        <w:t>machine used</w:t>
      </w:r>
      <w:r w:rsidR="00AE31D3" w:rsidRPr="00AE31D3">
        <w:rPr>
          <w:b w:val="0"/>
          <w:szCs w:val="22"/>
        </w:rPr>
        <w:t xml:space="preserve"> (b) </w:t>
      </w:r>
      <w:r w:rsidR="00E255BC">
        <w:rPr>
          <w:b w:val="0"/>
          <w:szCs w:val="22"/>
        </w:rPr>
        <w:t>injection moulded compacts</w:t>
      </w:r>
    </w:p>
    <w:p w14:paraId="2ADAEB62" w14:textId="77777777" w:rsidR="00024B8E" w:rsidRDefault="00024B8E" w:rsidP="00024B8E"/>
    <w:p w14:paraId="2B84DAE1" w14:textId="77777777" w:rsidR="00E255BC" w:rsidRDefault="00E255BC" w:rsidP="00024B8E"/>
    <w:p w14:paraId="5043442A" w14:textId="77777777" w:rsidR="006A4B8E" w:rsidRDefault="006A4B8E" w:rsidP="00024B8E">
      <w:pPr>
        <w:jc w:val="center"/>
      </w:pPr>
    </w:p>
    <w:p w14:paraId="3F9AD38D" w14:textId="77777777" w:rsidR="00E01C45" w:rsidRPr="006A4B8E" w:rsidRDefault="00E16757" w:rsidP="006A4B8E">
      <w:pPr>
        <w:jc w:val="right"/>
        <w:rPr>
          <w:rFonts w:ascii="Times New Roman" w:hAnsi="Times New Roman"/>
        </w:rPr>
      </w:pPr>
      <m:oMath>
        <m:f>
          <m:fPr>
            <m:ctrlPr>
              <w:rPr>
                <w:rFonts w:ascii="Cambria Math" w:hAnsi="Cambria Math"/>
                <w:i/>
                <w:sz w:val="32"/>
              </w:rPr>
            </m:ctrlPr>
          </m:fPr>
          <m:num>
            <m:r>
              <w:rPr>
                <w:rFonts w:ascii="Cambria Math" w:hAnsi="Cambria Math"/>
                <w:sz w:val="32"/>
              </w:rPr>
              <m:t>S</m:t>
            </m:r>
          </m:num>
          <m:den>
            <m:r>
              <w:rPr>
                <w:rFonts w:ascii="Cambria Math" w:hAnsi="Cambria Math"/>
                <w:sz w:val="32"/>
              </w:rPr>
              <m:t>N</m:t>
            </m:r>
          </m:den>
        </m:f>
        <m:r>
          <w:rPr>
            <w:rFonts w:ascii="Cambria Math" w:hAnsi="Cambria Math"/>
            <w:sz w:val="32"/>
          </w:rPr>
          <m:t>=10</m:t>
        </m:r>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10</m:t>
                </m:r>
              </m:sub>
            </m:sSub>
          </m:fName>
          <m:e>
            <m:nary>
              <m:naryPr>
                <m:chr m:val="∑"/>
                <m:limLoc m:val="undOvr"/>
                <m:subHide m:val="1"/>
                <m:supHide m:val="1"/>
                <m:ctrlPr>
                  <w:rPr>
                    <w:rFonts w:ascii="Cambria Math" w:hAnsi="Cambria Math"/>
                    <w:i/>
                    <w:sz w:val="32"/>
                  </w:rPr>
                </m:ctrlPr>
              </m:naryPr>
              <m:sub/>
              <m:sup/>
              <m:e>
                <m:f>
                  <m:fPr>
                    <m:ctrlPr>
                      <w:rPr>
                        <w:rFonts w:ascii="Cambria Math" w:hAnsi="Cambria Math"/>
                        <w:i/>
                        <w:sz w:val="32"/>
                      </w:rPr>
                    </m:ctrlPr>
                  </m:fPr>
                  <m:num>
                    <m:sSup>
                      <m:sSupPr>
                        <m:ctrlPr>
                          <w:rPr>
                            <w:rFonts w:ascii="Cambria Math" w:hAnsi="Cambria Math"/>
                            <w:i/>
                            <w:sz w:val="32"/>
                          </w:rPr>
                        </m:ctrlPr>
                      </m:sSupPr>
                      <m:e>
                        <m:acc>
                          <m:accPr>
                            <m:chr m:val="̅"/>
                            <m:ctrlPr>
                              <w:rPr>
                                <w:rFonts w:ascii="Cambria Math" w:hAnsi="Cambria Math"/>
                                <w:i/>
                                <w:sz w:val="32"/>
                              </w:rPr>
                            </m:ctrlPr>
                          </m:accPr>
                          <m:e>
                            <m:r>
                              <w:rPr>
                                <w:rFonts w:ascii="Cambria Math" w:hAnsi="Cambria Math"/>
                                <w:sz w:val="32"/>
                              </w:rPr>
                              <m:t>y</m:t>
                            </m:r>
                          </m:e>
                        </m:acc>
                      </m:e>
                      <m:sup>
                        <m:r>
                          <w:rPr>
                            <w:rFonts w:ascii="Cambria Math" w:hAnsi="Cambria Math"/>
                            <w:sz w:val="32"/>
                          </w:rPr>
                          <m:t>2</m:t>
                        </m:r>
                      </m:sup>
                    </m:sSup>
                  </m:num>
                  <m:den>
                    <m:sSubSup>
                      <m:sSubSupPr>
                        <m:ctrlPr>
                          <w:rPr>
                            <w:rFonts w:ascii="Cambria Math" w:hAnsi="Cambria Math"/>
                            <w:i/>
                            <w:sz w:val="32"/>
                          </w:rPr>
                        </m:ctrlPr>
                      </m:sSubSupPr>
                      <m:e>
                        <m:r>
                          <w:rPr>
                            <w:rFonts w:ascii="Cambria Math" w:hAnsi="Cambria Math"/>
                            <w:sz w:val="32"/>
                          </w:rPr>
                          <m:t>σ</m:t>
                        </m:r>
                      </m:e>
                      <m:sub>
                        <m:r>
                          <w:rPr>
                            <w:rFonts w:ascii="Cambria Math" w:hAnsi="Cambria Math"/>
                            <w:sz w:val="32"/>
                          </w:rPr>
                          <m:t>N-1</m:t>
                        </m:r>
                      </m:sub>
                      <m:sup>
                        <m:r>
                          <w:rPr>
                            <w:rFonts w:ascii="Cambria Math" w:hAnsi="Cambria Math"/>
                            <w:sz w:val="32"/>
                          </w:rPr>
                          <m:t>2</m:t>
                        </m:r>
                      </m:sup>
                    </m:sSubSup>
                  </m:den>
                </m:f>
              </m:e>
            </m:nary>
          </m:e>
        </m:func>
      </m:oMath>
      <w:r w:rsidR="006A4B8E" w:rsidRPr="006A4B8E">
        <w:rPr>
          <w:rFonts w:ascii="Times New Roman" w:hAnsi="Times New Roman"/>
        </w:rPr>
        <w:t xml:space="preserve">                </w:t>
      </w:r>
      <w:r w:rsidR="006A4B8E">
        <w:rPr>
          <w:rFonts w:ascii="Times New Roman" w:hAnsi="Times New Roman"/>
        </w:rPr>
        <w:t xml:space="preserve">  </w:t>
      </w:r>
      <w:r w:rsidR="006A4B8E" w:rsidRPr="006A4B8E">
        <w:rPr>
          <w:rFonts w:ascii="Times New Roman" w:hAnsi="Times New Roman"/>
        </w:rPr>
        <w:t xml:space="preserve">                                     (1)</w:t>
      </w:r>
    </w:p>
    <w:p w14:paraId="31B2AF53" w14:textId="77777777" w:rsidR="00F35C3D" w:rsidRPr="00024B8E" w:rsidRDefault="00F35C3D" w:rsidP="00024B8E">
      <w:pPr>
        <w:jc w:val="center"/>
      </w:pPr>
    </w:p>
    <w:p w14:paraId="355AD216" w14:textId="04DE447F" w:rsidR="00B555C4" w:rsidRDefault="00B555C4" w:rsidP="0024000D">
      <w:pPr>
        <w:pStyle w:val="Caption"/>
      </w:pPr>
      <w:r>
        <w:t xml:space="preserve">       </w:t>
      </w:r>
    </w:p>
    <w:p w14:paraId="54540042" w14:textId="779607B6" w:rsidR="00B555C4" w:rsidRDefault="00F35C3D" w:rsidP="0024000D">
      <w:pPr>
        <w:rPr>
          <w:lang w:val="en-US"/>
        </w:rPr>
      </w:pPr>
      <w:r>
        <w:t xml:space="preserve">Orthogonal array of L27 structure is shown in Table 4 </w:t>
      </w:r>
      <w:r w:rsidRPr="00F35C3D">
        <w:rPr>
          <w:lang w:val="en-US"/>
        </w:rPr>
        <w:t xml:space="preserve">where replication of three parts of the same tested parameters being employed. </w:t>
      </w:r>
      <w:r w:rsidR="00E01C45">
        <w:rPr>
          <w:lang w:val="en-US"/>
        </w:rPr>
        <w:t xml:space="preserve"> Density of the three replication injected </w:t>
      </w:r>
      <w:proofErr w:type="spellStart"/>
      <w:r w:rsidR="00E01C45">
        <w:rPr>
          <w:lang w:val="en-US"/>
        </w:rPr>
        <w:t>moulded</w:t>
      </w:r>
      <w:proofErr w:type="spellEnd"/>
      <w:r w:rsidR="00E01C45">
        <w:rPr>
          <w:lang w:val="en-US"/>
        </w:rPr>
        <w:t xml:space="preserve"> parts were taken by means of Archimedes principle and recorded for calculating Mean and S/N ratio as shown in Table 5. </w:t>
      </w:r>
      <w:r w:rsidR="001B0107">
        <w:rPr>
          <w:lang w:val="en-US"/>
        </w:rPr>
        <w:t xml:space="preserve"> </w:t>
      </w:r>
      <w:r w:rsidR="001B0107" w:rsidRPr="001B0107">
        <w:rPr>
          <w:lang w:val="en-US"/>
        </w:rPr>
        <w:t xml:space="preserve">S/N ratio was calculated </w:t>
      </w:r>
      <w:proofErr w:type="spellStart"/>
      <w:r w:rsidR="001B0107" w:rsidRPr="001B0107">
        <w:rPr>
          <w:lang w:val="en-US"/>
        </w:rPr>
        <w:t>base</w:t>
      </w:r>
      <w:proofErr w:type="spellEnd"/>
      <w:r w:rsidR="001B0107" w:rsidRPr="001B0107">
        <w:rPr>
          <w:lang w:val="en-US"/>
        </w:rPr>
        <w:t xml:space="preserve"> on Nominal is better by using </w:t>
      </w:r>
      <w:r w:rsidR="001B0107" w:rsidRPr="005857B2">
        <w:rPr>
          <w:bCs/>
          <w:lang w:val="en-US"/>
        </w:rPr>
        <w:t>Equation 1</w:t>
      </w:r>
      <w:r w:rsidR="001B0107" w:rsidRPr="001B0107">
        <w:rPr>
          <w:lang w:val="en-US"/>
        </w:rPr>
        <w:t xml:space="preserve">. From </w:t>
      </w:r>
      <w:r w:rsidR="005857B2">
        <w:rPr>
          <w:bCs/>
          <w:lang w:val="en-US"/>
        </w:rPr>
        <w:t>Table 5,</w:t>
      </w:r>
      <w:r w:rsidR="001B0107" w:rsidRPr="001B0107">
        <w:rPr>
          <w:b/>
          <w:bCs/>
          <w:lang w:val="en-US"/>
        </w:rPr>
        <w:t xml:space="preserve"> </w:t>
      </w:r>
      <w:r w:rsidR="001B0107" w:rsidRPr="001B0107">
        <w:rPr>
          <w:lang w:val="en-US"/>
        </w:rPr>
        <w:t xml:space="preserve">S/N ratio </w:t>
      </w:r>
      <w:r w:rsidR="005857B2">
        <w:rPr>
          <w:lang w:val="en-US"/>
        </w:rPr>
        <w:t xml:space="preserve">and Mean </w:t>
      </w:r>
      <w:r w:rsidR="001B0107" w:rsidRPr="001B0107">
        <w:rPr>
          <w:lang w:val="en-US"/>
        </w:rPr>
        <w:t>w</w:t>
      </w:r>
      <w:r w:rsidR="005857B2">
        <w:rPr>
          <w:lang w:val="en-US"/>
        </w:rPr>
        <w:t>ere</w:t>
      </w:r>
      <w:r w:rsidR="001B0107" w:rsidRPr="001B0107">
        <w:rPr>
          <w:lang w:val="en-US"/>
        </w:rPr>
        <w:t xml:space="preserve"> calculated </w:t>
      </w:r>
      <w:r w:rsidR="005857B2">
        <w:rPr>
          <w:lang w:val="en-US"/>
        </w:rPr>
        <w:t xml:space="preserve">from the average density of the replication </w:t>
      </w:r>
      <w:r w:rsidR="001B0107" w:rsidRPr="001B0107">
        <w:rPr>
          <w:lang w:val="en-US"/>
        </w:rPr>
        <w:t xml:space="preserve">for each level </w:t>
      </w:r>
      <w:r w:rsidR="005857B2">
        <w:rPr>
          <w:lang w:val="en-US"/>
        </w:rPr>
        <w:t>structure of the L27</w:t>
      </w:r>
      <w:r w:rsidR="001B0107" w:rsidRPr="001B0107">
        <w:rPr>
          <w:lang w:val="en-US"/>
        </w:rPr>
        <w:t xml:space="preserve"> and the </w:t>
      </w:r>
      <w:r w:rsidR="005857B2">
        <w:rPr>
          <w:lang w:val="en-US"/>
        </w:rPr>
        <w:t>variability of the S/N ratio and Mean are shown in Table 6 and 7</w:t>
      </w:r>
      <w:r w:rsidR="0024000D">
        <w:rPr>
          <w:lang w:val="en-US"/>
        </w:rPr>
        <w:t>.</w:t>
      </w:r>
    </w:p>
    <w:p w14:paraId="1074A8EB" w14:textId="77777777" w:rsidR="00996FDB" w:rsidRDefault="00996FDB" w:rsidP="0024000D">
      <w:pPr>
        <w:rPr>
          <w:lang w:val="en-US"/>
        </w:rPr>
      </w:pPr>
    </w:p>
    <w:p w14:paraId="66810820" w14:textId="77777777" w:rsidR="00996FDB" w:rsidRDefault="00996FDB" w:rsidP="0024000D">
      <w:pPr>
        <w:rPr>
          <w:lang w:val="en-US"/>
        </w:rPr>
      </w:pPr>
    </w:p>
    <w:p w14:paraId="7F219BC6" w14:textId="77777777" w:rsidR="00996FDB" w:rsidRDefault="00996FDB" w:rsidP="0024000D">
      <w:pPr>
        <w:rPr>
          <w:lang w:val="en-US"/>
        </w:rPr>
      </w:pPr>
    </w:p>
    <w:p w14:paraId="4761E733" w14:textId="77777777" w:rsidR="00996FDB" w:rsidRDefault="00996FDB" w:rsidP="0024000D">
      <w:pPr>
        <w:rPr>
          <w:lang w:val="en-US"/>
        </w:rPr>
      </w:pPr>
    </w:p>
    <w:p w14:paraId="226926DC" w14:textId="77777777" w:rsidR="0024000D" w:rsidRPr="0024000D" w:rsidRDefault="0024000D" w:rsidP="0024000D">
      <w:pPr>
        <w:rPr>
          <w:lang w:val="en-US"/>
        </w:rPr>
      </w:pPr>
    </w:p>
    <w:p w14:paraId="359AB739" w14:textId="5268BF3D" w:rsidR="00B555C4" w:rsidRDefault="00B555C4" w:rsidP="0024000D">
      <w:pPr>
        <w:pStyle w:val="Caption"/>
      </w:pPr>
      <w:r>
        <w:lastRenderedPageBreak/>
        <w:t xml:space="preserve">Table </w:t>
      </w:r>
      <w:r>
        <w:fldChar w:fldCharType="begin"/>
      </w:r>
      <w:r>
        <w:instrText xml:space="preserve"> SEQ Table \* ARABIC </w:instrText>
      </w:r>
      <w:r>
        <w:fldChar w:fldCharType="separate"/>
      </w:r>
      <w:r w:rsidR="000B6B00">
        <w:rPr>
          <w:noProof/>
        </w:rPr>
        <w:t>4</w:t>
      </w:r>
      <w:r>
        <w:fldChar w:fldCharType="end"/>
      </w:r>
      <w:r w:rsidR="004B3B1D">
        <w:t xml:space="preserve">: </w:t>
      </w:r>
      <w:r w:rsidR="004B3B1D" w:rsidRPr="007D410F">
        <w:rPr>
          <w:b w:val="0"/>
        </w:rPr>
        <w:t>Orthogonal array of L27 structure</w:t>
      </w:r>
    </w:p>
    <w:p w14:paraId="0B73D7FB" w14:textId="77777777" w:rsidR="00AA77B6" w:rsidRDefault="00E01C45" w:rsidP="0024000D">
      <w:pPr>
        <w:pStyle w:val="BodytextIndented"/>
        <w:ind w:firstLine="0"/>
        <w:jc w:val="center"/>
      </w:pPr>
      <w:r>
        <w:rPr>
          <w:noProof/>
          <w:lang w:val="en-MY" w:eastAsia="en-MY"/>
        </w:rPr>
        <w:drawing>
          <wp:inline distT="0" distB="0" distL="0" distR="0" wp14:anchorId="7AF93275" wp14:editId="55907777">
            <wp:extent cx="4293235" cy="35585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293235" cy="3558540"/>
                    </a:xfrm>
                    <a:prstGeom prst="rect">
                      <a:avLst/>
                    </a:prstGeom>
                    <a:noFill/>
                    <a:ln>
                      <a:noFill/>
                    </a:ln>
                  </pic:spPr>
                </pic:pic>
              </a:graphicData>
            </a:graphic>
          </wp:inline>
        </w:drawing>
      </w:r>
    </w:p>
    <w:p w14:paraId="76317C97" w14:textId="77777777" w:rsidR="001B0107" w:rsidRPr="006D20C1" w:rsidRDefault="001B0107" w:rsidP="008C219D">
      <w:pPr>
        <w:pStyle w:val="BodytextIndented"/>
        <w:jc w:val="center"/>
        <w:rPr>
          <w:sz w:val="20"/>
        </w:rPr>
      </w:pPr>
    </w:p>
    <w:p w14:paraId="6385A6D6" w14:textId="2304017D" w:rsidR="001B0107" w:rsidRPr="0024000D" w:rsidRDefault="001B0107" w:rsidP="0024000D">
      <w:pPr>
        <w:pStyle w:val="Caption"/>
      </w:pPr>
      <w:r w:rsidRPr="0024000D">
        <w:t xml:space="preserve">Table </w:t>
      </w:r>
      <w:r w:rsidRPr="0024000D">
        <w:fldChar w:fldCharType="begin"/>
      </w:r>
      <w:r w:rsidRPr="0024000D">
        <w:instrText xml:space="preserve"> SEQ Table \* ARABIC </w:instrText>
      </w:r>
      <w:r w:rsidRPr="0024000D">
        <w:fldChar w:fldCharType="separate"/>
      </w:r>
      <w:r w:rsidR="000B6B00" w:rsidRPr="0024000D">
        <w:t>5</w:t>
      </w:r>
      <w:r w:rsidRPr="0024000D">
        <w:fldChar w:fldCharType="end"/>
      </w:r>
      <w:r w:rsidR="007D410F" w:rsidRPr="0024000D">
        <w:t xml:space="preserve">: </w:t>
      </w:r>
      <w:r w:rsidR="007D410F" w:rsidRPr="006D20C1">
        <w:rPr>
          <w:b w:val="0"/>
        </w:rPr>
        <w:t>Mean and S/N ratio calculated from density replication of L27 structure experiment</w:t>
      </w:r>
    </w:p>
    <w:p w14:paraId="52EA2BBA" w14:textId="06F9BDBE" w:rsidR="008C219D" w:rsidRDefault="001B0107" w:rsidP="00996FDB">
      <w:pPr>
        <w:pStyle w:val="BodytextIndented"/>
        <w:ind w:firstLine="0"/>
        <w:jc w:val="center"/>
      </w:pPr>
      <w:r>
        <w:rPr>
          <w:noProof/>
          <w:lang w:val="en-MY" w:eastAsia="en-MY"/>
        </w:rPr>
        <w:drawing>
          <wp:inline distT="0" distB="0" distL="0" distR="0" wp14:anchorId="5060F9C3" wp14:editId="18C98B82">
            <wp:extent cx="4388575" cy="33829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390458" cy="3384448"/>
                    </a:xfrm>
                    <a:prstGeom prst="rect">
                      <a:avLst/>
                    </a:prstGeom>
                    <a:noFill/>
                    <a:ln>
                      <a:noFill/>
                    </a:ln>
                  </pic:spPr>
                </pic:pic>
              </a:graphicData>
            </a:graphic>
          </wp:inline>
        </w:drawing>
      </w:r>
    </w:p>
    <w:p w14:paraId="7C9C540F" w14:textId="77777777" w:rsidR="006E017B" w:rsidRDefault="004475DB" w:rsidP="0024000D">
      <w:pPr>
        <w:pStyle w:val="Heading2"/>
      </w:pPr>
      <w:r>
        <w:lastRenderedPageBreak/>
        <w:t xml:space="preserve">Results and discussion </w:t>
      </w:r>
    </w:p>
    <w:p w14:paraId="1451CD52" w14:textId="77777777" w:rsidR="001B0107" w:rsidRPr="009D44E8" w:rsidRDefault="004475DB" w:rsidP="001B0107">
      <w:pPr>
        <w:pStyle w:val="Bodytext"/>
        <w:rPr>
          <w:sz w:val="20"/>
          <w:szCs w:val="20"/>
        </w:rPr>
      </w:pPr>
      <w:r w:rsidRPr="009D44E8">
        <w:rPr>
          <w:sz w:val="20"/>
          <w:szCs w:val="20"/>
          <w:lang w:val="en-GB"/>
        </w:rPr>
        <w:t xml:space="preserve">In this section, </w:t>
      </w:r>
      <w:r w:rsidR="001B0107" w:rsidRPr="009D44E8">
        <w:rPr>
          <w:sz w:val="20"/>
          <w:szCs w:val="20"/>
          <w:lang w:val="en-GB"/>
        </w:rPr>
        <w:t xml:space="preserve">analysis of optimised parameters of the injection moulding parameters with its level are analysed. Variability analysis table </w:t>
      </w:r>
      <w:r w:rsidR="009D7594" w:rsidRPr="009D44E8">
        <w:rPr>
          <w:sz w:val="20"/>
          <w:szCs w:val="20"/>
          <w:lang w:val="en-GB"/>
        </w:rPr>
        <w:t xml:space="preserve">of S/N ratio </w:t>
      </w:r>
      <w:r w:rsidR="001B0107" w:rsidRPr="009D44E8">
        <w:rPr>
          <w:sz w:val="20"/>
          <w:szCs w:val="20"/>
          <w:lang w:val="en-GB"/>
        </w:rPr>
        <w:t xml:space="preserve">was </w:t>
      </w:r>
      <w:r w:rsidR="009D7594" w:rsidRPr="009D44E8">
        <w:rPr>
          <w:sz w:val="20"/>
          <w:szCs w:val="20"/>
          <w:lang w:val="en-GB"/>
        </w:rPr>
        <w:t>calculated</w:t>
      </w:r>
      <w:r w:rsidR="001B0107" w:rsidRPr="009D44E8">
        <w:rPr>
          <w:sz w:val="20"/>
          <w:szCs w:val="20"/>
          <w:lang w:val="en-GB"/>
        </w:rPr>
        <w:t xml:space="preserve"> as shown in </w:t>
      </w:r>
      <w:r w:rsidR="009D7594" w:rsidRPr="009D44E8">
        <w:rPr>
          <w:sz w:val="20"/>
          <w:szCs w:val="20"/>
          <w:lang w:val="en-GB"/>
        </w:rPr>
        <w:t>Table 6</w:t>
      </w:r>
      <w:r w:rsidR="001B0107" w:rsidRPr="009D44E8">
        <w:rPr>
          <w:sz w:val="20"/>
          <w:szCs w:val="20"/>
          <w:lang w:val="en-GB"/>
        </w:rPr>
        <w:t>. F</w:t>
      </w:r>
      <w:r w:rsidR="001B0107" w:rsidRPr="009D44E8">
        <w:rPr>
          <w:sz w:val="20"/>
          <w:szCs w:val="20"/>
        </w:rPr>
        <w:t xml:space="preserve">rom </w:t>
      </w:r>
      <w:r w:rsidR="001B0107" w:rsidRPr="009D44E8">
        <w:rPr>
          <w:bCs/>
          <w:sz w:val="20"/>
          <w:szCs w:val="20"/>
        </w:rPr>
        <w:t>Table 6</w:t>
      </w:r>
      <w:r w:rsidR="001B0107" w:rsidRPr="009D44E8">
        <w:rPr>
          <w:b/>
          <w:bCs/>
          <w:sz w:val="20"/>
          <w:szCs w:val="20"/>
        </w:rPr>
        <w:t xml:space="preserve"> </w:t>
      </w:r>
      <w:r w:rsidR="001B0107" w:rsidRPr="009D44E8">
        <w:rPr>
          <w:sz w:val="20"/>
          <w:szCs w:val="20"/>
        </w:rPr>
        <w:t xml:space="preserve">average S/N ratio was calculated for each level factor and the difference between the levels of highest S/N ratio for the same factor being substituted with the lowest one. The difference was shown by the Delta value. </w:t>
      </w:r>
      <w:r w:rsidR="009D7594" w:rsidRPr="009D44E8">
        <w:rPr>
          <w:sz w:val="20"/>
          <w:szCs w:val="20"/>
        </w:rPr>
        <w:t xml:space="preserve">The Delta values were then being plotted as shown in Figure 3 for clear viewing of significant factors that contributes to the green density of the </w:t>
      </w:r>
      <w:proofErr w:type="spellStart"/>
      <w:r w:rsidR="009D7594" w:rsidRPr="009D44E8">
        <w:rPr>
          <w:sz w:val="20"/>
          <w:szCs w:val="20"/>
        </w:rPr>
        <w:t>moulded</w:t>
      </w:r>
      <w:proofErr w:type="spellEnd"/>
      <w:r w:rsidR="009D7594" w:rsidRPr="009D44E8">
        <w:rPr>
          <w:sz w:val="20"/>
          <w:szCs w:val="20"/>
        </w:rPr>
        <w:t xml:space="preserve"> parts.</w:t>
      </w:r>
    </w:p>
    <w:p w14:paraId="213E7EA9" w14:textId="3FDCD7F1" w:rsidR="001B0107" w:rsidRPr="001B0107" w:rsidRDefault="001B0107" w:rsidP="001B0107">
      <w:pPr>
        <w:pStyle w:val="BodytextIndented"/>
      </w:pPr>
      <w:r w:rsidRPr="009D44E8">
        <w:rPr>
          <w:sz w:val="20"/>
          <w:szCs w:val="20"/>
        </w:rPr>
        <w:t>It was found that factor D or cooling time plays significant effect as compare to other factors (6.274)</w:t>
      </w:r>
      <w:r w:rsidR="003D6F2E" w:rsidRPr="009D44E8">
        <w:rPr>
          <w:sz w:val="20"/>
          <w:szCs w:val="20"/>
        </w:rPr>
        <w:t xml:space="preserve"> since </w:t>
      </w:r>
      <w:proofErr w:type="spellStart"/>
      <w:r w:rsidR="003D6F2E" w:rsidRPr="009D44E8">
        <w:rPr>
          <w:sz w:val="20"/>
          <w:szCs w:val="20"/>
        </w:rPr>
        <w:t>mould</w:t>
      </w:r>
      <w:proofErr w:type="spellEnd"/>
      <w:r w:rsidR="003D6F2E" w:rsidRPr="009D44E8">
        <w:rPr>
          <w:sz w:val="20"/>
          <w:szCs w:val="20"/>
        </w:rPr>
        <w:t xml:space="preserve"> temperature would assist the melt feedstock flow inside the </w:t>
      </w:r>
      <w:proofErr w:type="spellStart"/>
      <w:r w:rsidR="003D6F2E" w:rsidRPr="009D44E8">
        <w:rPr>
          <w:sz w:val="20"/>
          <w:szCs w:val="20"/>
        </w:rPr>
        <w:t>mould</w:t>
      </w:r>
      <w:proofErr w:type="spellEnd"/>
      <w:r w:rsidR="003D6F2E" w:rsidRPr="009D44E8">
        <w:rPr>
          <w:sz w:val="20"/>
          <w:szCs w:val="20"/>
        </w:rPr>
        <w:t xml:space="preserve"> cavity</w:t>
      </w:r>
      <w:r w:rsidRPr="009D44E8">
        <w:rPr>
          <w:sz w:val="20"/>
          <w:szCs w:val="20"/>
        </w:rPr>
        <w:t xml:space="preserve">. The second most influencing factor was come from injection pressure (B), which has the Delta value of 5.95. Injection time (F), injection speed (E), </w:t>
      </w:r>
      <w:proofErr w:type="spellStart"/>
      <w:r w:rsidRPr="009D44E8">
        <w:rPr>
          <w:sz w:val="20"/>
          <w:szCs w:val="20"/>
        </w:rPr>
        <w:t>mould</w:t>
      </w:r>
      <w:proofErr w:type="spellEnd"/>
      <w:r w:rsidRPr="009D44E8">
        <w:rPr>
          <w:sz w:val="20"/>
          <w:szCs w:val="20"/>
        </w:rPr>
        <w:t xml:space="preserve"> temperature (C), packing time (G) and injection temperature (A) become the third, </w:t>
      </w:r>
      <w:r w:rsidR="009D44E8" w:rsidRPr="009D44E8">
        <w:rPr>
          <w:sz w:val="20"/>
          <w:szCs w:val="20"/>
        </w:rPr>
        <w:t>fourth</w:t>
      </w:r>
      <w:r w:rsidRPr="009D44E8">
        <w:rPr>
          <w:sz w:val="20"/>
          <w:szCs w:val="20"/>
        </w:rPr>
        <w:t>, fifth, sixth and seventh important factor respectively according to delta value.</w:t>
      </w:r>
      <w:r w:rsidRPr="001B0107">
        <w:t xml:space="preserve"> </w:t>
      </w:r>
    </w:p>
    <w:p w14:paraId="6439C1B6" w14:textId="77777777" w:rsidR="001B0107" w:rsidRDefault="001B0107" w:rsidP="00966D4D">
      <w:pPr>
        <w:pStyle w:val="BodytextIndented"/>
        <w:ind w:firstLine="0"/>
      </w:pPr>
    </w:p>
    <w:p w14:paraId="16C9516A" w14:textId="77777777" w:rsidR="001B0107" w:rsidRDefault="001B0107" w:rsidP="001B0107">
      <w:pPr>
        <w:pStyle w:val="BodytextIndented"/>
      </w:pPr>
    </w:p>
    <w:p w14:paraId="4CD9D559" w14:textId="0974EEC3" w:rsidR="005857B2" w:rsidRPr="005857B2" w:rsidRDefault="001B0107" w:rsidP="0024000D">
      <w:pPr>
        <w:pStyle w:val="Caption"/>
        <w:keepNext/>
        <w:ind w:firstLine="0"/>
        <w:rPr>
          <w:lang w:val="en-US"/>
        </w:rPr>
      </w:pPr>
      <w:r>
        <w:t xml:space="preserve">Table </w:t>
      </w:r>
      <w:r>
        <w:fldChar w:fldCharType="begin"/>
      </w:r>
      <w:r>
        <w:instrText xml:space="preserve"> SEQ Table \* ARABIC </w:instrText>
      </w:r>
      <w:r>
        <w:fldChar w:fldCharType="separate"/>
      </w:r>
      <w:r w:rsidR="000B6B00">
        <w:rPr>
          <w:noProof/>
        </w:rPr>
        <w:t>6</w:t>
      </w:r>
      <w:r>
        <w:fldChar w:fldCharType="end"/>
      </w:r>
      <w:r w:rsidR="007D410F">
        <w:t xml:space="preserve">: </w:t>
      </w:r>
      <w:r w:rsidR="005857B2" w:rsidRPr="005857B2">
        <w:rPr>
          <w:b w:val="0"/>
          <w:lang w:val="en-US"/>
        </w:rPr>
        <w:t xml:space="preserve">Response table of </w:t>
      </w:r>
      <w:r w:rsidR="00961DF6" w:rsidRPr="00961DF6">
        <w:rPr>
          <w:b w:val="0"/>
          <w:lang w:val="en-US"/>
        </w:rPr>
        <w:t xml:space="preserve">S/N ratio </w:t>
      </w:r>
      <w:r w:rsidR="00961DF6">
        <w:rPr>
          <w:b w:val="0"/>
          <w:lang w:val="en-US"/>
        </w:rPr>
        <w:t>variability analysis</w:t>
      </w:r>
    </w:p>
    <w:p w14:paraId="4445115F" w14:textId="4D659389" w:rsidR="001B0107" w:rsidRDefault="001B0107" w:rsidP="001B0107">
      <w:pPr>
        <w:pStyle w:val="Caption"/>
        <w:keepNext/>
      </w:pPr>
    </w:p>
    <w:p w14:paraId="28B83664" w14:textId="77777777" w:rsidR="001B0107" w:rsidRDefault="001B0107" w:rsidP="0024000D">
      <w:pPr>
        <w:pStyle w:val="BodytextIndented"/>
        <w:ind w:firstLine="0"/>
        <w:jc w:val="center"/>
      </w:pPr>
      <w:r>
        <w:rPr>
          <w:noProof/>
          <w:lang w:val="en-MY" w:eastAsia="en-MY"/>
        </w:rPr>
        <w:drawing>
          <wp:inline distT="0" distB="0" distL="0" distR="0" wp14:anchorId="34D73B94" wp14:editId="5B3A075D">
            <wp:extent cx="4636135" cy="1181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636135" cy="1181100"/>
                    </a:xfrm>
                    <a:prstGeom prst="rect">
                      <a:avLst/>
                    </a:prstGeom>
                    <a:noFill/>
                    <a:ln>
                      <a:noFill/>
                    </a:ln>
                  </pic:spPr>
                </pic:pic>
              </a:graphicData>
            </a:graphic>
          </wp:inline>
        </w:drawing>
      </w:r>
    </w:p>
    <w:p w14:paraId="3E0B5BBE" w14:textId="77777777" w:rsidR="009D7594" w:rsidRDefault="009D7594" w:rsidP="001B0107">
      <w:pPr>
        <w:pStyle w:val="BodytextIndented"/>
        <w:jc w:val="center"/>
      </w:pPr>
    </w:p>
    <w:p w14:paraId="54CB5174" w14:textId="77777777" w:rsidR="009D7594" w:rsidRDefault="009D7594" w:rsidP="009D7594">
      <w:pPr>
        <w:pStyle w:val="BodytextIndented"/>
        <w:keepNext/>
        <w:jc w:val="center"/>
      </w:pPr>
      <w:r>
        <w:rPr>
          <w:noProof/>
          <w:lang w:val="en-MY" w:eastAsia="en-MY"/>
        </w:rPr>
        <w:drawing>
          <wp:inline distT="0" distB="0" distL="0" distR="0" wp14:anchorId="132901D6" wp14:editId="27382AB0">
            <wp:extent cx="3568700" cy="2374900"/>
            <wp:effectExtent l="0" t="0" r="0" b="127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568700" cy="2374900"/>
                    </a:xfrm>
                    <a:prstGeom prst="rect">
                      <a:avLst/>
                    </a:prstGeom>
                    <a:noFill/>
                    <a:ln>
                      <a:noFill/>
                    </a:ln>
                  </pic:spPr>
                </pic:pic>
              </a:graphicData>
            </a:graphic>
          </wp:inline>
        </w:drawing>
      </w:r>
    </w:p>
    <w:p w14:paraId="73134B10" w14:textId="4336E513" w:rsidR="005857B2" w:rsidRPr="005857B2" w:rsidRDefault="006D20C1" w:rsidP="0024000D">
      <w:pPr>
        <w:pStyle w:val="Caption"/>
        <w:ind w:firstLine="0"/>
        <w:jc w:val="both"/>
        <w:rPr>
          <w:lang w:val="en-US"/>
        </w:rPr>
      </w:pPr>
      <w:r>
        <w:t>Fig.</w:t>
      </w:r>
      <w:r w:rsidR="009D7594">
        <w:t xml:space="preserve"> </w:t>
      </w:r>
      <w:r w:rsidR="009D7594">
        <w:fldChar w:fldCharType="begin"/>
      </w:r>
      <w:r w:rsidR="009D7594">
        <w:instrText xml:space="preserve"> SEQ Figure \* ARABIC </w:instrText>
      </w:r>
      <w:r w:rsidR="009D7594">
        <w:fldChar w:fldCharType="separate"/>
      </w:r>
      <w:r w:rsidR="000B6B00">
        <w:rPr>
          <w:noProof/>
        </w:rPr>
        <w:t>3</w:t>
      </w:r>
      <w:r w:rsidR="009D7594">
        <w:fldChar w:fldCharType="end"/>
      </w:r>
      <w:r>
        <w:t>.</w:t>
      </w:r>
      <w:r w:rsidR="007D410F">
        <w:t xml:space="preserve"> </w:t>
      </w:r>
      <w:r w:rsidR="005857B2" w:rsidRPr="005857B2">
        <w:rPr>
          <w:b w:val="0"/>
          <w:lang w:val="en-US"/>
        </w:rPr>
        <w:t>S/N ratios variations of green part density at various levels of injection parameters</w:t>
      </w:r>
      <w:r w:rsidR="005857B2" w:rsidRPr="005857B2">
        <w:rPr>
          <w:lang w:val="en-US"/>
        </w:rPr>
        <w:t xml:space="preserve"> </w:t>
      </w:r>
    </w:p>
    <w:p w14:paraId="1700A948" w14:textId="55676BC0" w:rsidR="009D7594" w:rsidRDefault="009D7594" w:rsidP="009D7594">
      <w:pPr>
        <w:pStyle w:val="Caption"/>
      </w:pPr>
    </w:p>
    <w:p w14:paraId="0F6AF657" w14:textId="77777777" w:rsidR="009D7594" w:rsidRDefault="009D7594" w:rsidP="009D7594"/>
    <w:p w14:paraId="15793083" w14:textId="77777777" w:rsidR="009D7594" w:rsidRDefault="009D7594" w:rsidP="0024000D">
      <w:r>
        <w:t xml:space="preserve">Response table for Mean variability analysis </w:t>
      </w:r>
      <w:r w:rsidR="00E73FD1">
        <w:t xml:space="preserve">(Table 7) </w:t>
      </w:r>
      <w:r>
        <w:t xml:space="preserve">also being tabulated since this table can gives </w:t>
      </w:r>
      <w:r w:rsidR="00E73FD1">
        <w:t xml:space="preserve">the results of any variability of green part density in response to the factors level. The delta analysis was then being plotted as shown in Figure 4. </w:t>
      </w:r>
    </w:p>
    <w:p w14:paraId="6546E150" w14:textId="4DA5B15E" w:rsidR="00E73FD1" w:rsidRDefault="00E73FD1" w:rsidP="0024000D">
      <w:r>
        <w:lastRenderedPageBreak/>
        <w:t>From Figure 3 and 4, agreement of level factors of injection pressure, mould temperatu</w:t>
      </w:r>
      <w:r w:rsidR="009741A0">
        <w:t>re and injection time were found</w:t>
      </w:r>
      <w:r>
        <w:t xml:space="preserve"> for analysis of Mean and S/N ratio which indicates this level of parameters would </w:t>
      </w:r>
      <w:r w:rsidR="009D44E8">
        <w:t>give</w:t>
      </w:r>
      <w:r>
        <w:t xml:space="preserve"> optimum and low fluctuation density of the green compact. For injection temperature</w:t>
      </w:r>
      <w:r w:rsidR="009741A0">
        <w:t>,</w:t>
      </w:r>
      <w:r>
        <w:t xml:space="preserve"> S/N ratio </w:t>
      </w:r>
      <w:r w:rsidR="009741A0">
        <w:t xml:space="preserve">indicates that level 2 has the significant effect in obtaining optimum density and this result was </w:t>
      </w:r>
      <w:proofErr w:type="gramStart"/>
      <w:r w:rsidR="009741A0">
        <w:t>contradicts</w:t>
      </w:r>
      <w:proofErr w:type="gramEnd"/>
      <w:r w:rsidR="009741A0">
        <w:t xml:space="preserve"> to the Mean analysis, which indicates level 3 has significant factors in </w:t>
      </w:r>
      <w:r w:rsidR="009D44E8">
        <w:t>reducing</w:t>
      </w:r>
      <w:r w:rsidR="009741A0">
        <w:t xml:space="preserve"> the fluctuations of density obtained. Disagreement also was found for factor level for D, E and G which representing the factor of cooling time, injection speed and packing time respectively. </w:t>
      </w:r>
    </w:p>
    <w:p w14:paraId="6B3E9E17" w14:textId="77777777" w:rsidR="007861FF" w:rsidRDefault="009741A0" w:rsidP="0024000D">
      <w:r>
        <w:t xml:space="preserve">Although the optimum level between the four </w:t>
      </w:r>
      <w:r w:rsidR="007861FF">
        <w:t>levels</w:t>
      </w:r>
      <w:r>
        <w:t xml:space="preserve"> was not the same, if we compare the gradients of A factors for Mean between level 2 and 3 only slight change affect the optimum density variability </w:t>
      </w:r>
      <w:r w:rsidR="007861FF">
        <w:t xml:space="preserve">as compare to S/N ratio gradients. Shifted the level from 1 to 2 and from 2 to 3 would results in greatest change in optimum green density. Therefore since shifted the level from 2 to 3 for factor A would results in greatest change S/N ratio as compare to Mean, therefore level 2 of factor A was selected since he Mean variability of the green density would only slightly change the density. The same goes to the factor D, E and G where level 2, 3 and 3 are chosen </w:t>
      </w:r>
      <w:r w:rsidR="007861FF" w:rsidRPr="007861FF">
        <w:t>respectively</w:t>
      </w:r>
      <w:r w:rsidR="007861FF">
        <w:t xml:space="preserve">.  </w:t>
      </w:r>
    </w:p>
    <w:p w14:paraId="5C43C500" w14:textId="77777777" w:rsidR="009741A0" w:rsidRDefault="009741A0" w:rsidP="00E73FD1"/>
    <w:p w14:paraId="6626DEC9" w14:textId="4E1C4A4D" w:rsidR="005857B2" w:rsidRPr="005857B2" w:rsidRDefault="009D7594" w:rsidP="0024000D">
      <w:pPr>
        <w:pStyle w:val="Caption"/>
        <w:keepNext/>
        <w:ind w:firstLine="0"/>
        <w:rPr>
          <w:lang w:val="en-US"/>
        </w:rPr>
      </w:pPr>
      <w:r>
        <w:t xml:space="preserve">Table </w:t>
      </w:r>
      <w:r>
        <w:fldChar w:fldCharType="begin"/>
      </w:r>
      <w:r>
        <w:instrText xml:space="preserve"> SEQ Table \* ARABIC </w:instrText>
      </w:r>
      <w:r>
        <w:fldChar w:fldCharType="separate"/>
      </w:r>
      <w:r w:rsidR="000B6B00">
        <w:rPr>
          <w:noProof/>
        </w:rPr>
        <w:t>7</w:t>
      </w:r>
      <w:r>
        <w:fldChar w:fldCharType="end"/>
      </w:r>
      <w:r w:rsidR="005857B2">
        <w:t xml:space="preserve">: </w:t>
      </w:r>
      <w:r w:rsidR="005857B2" w:rsidRPr="005857B2">
        <w:rPr>
          <w:b w:val="0"/>
          <w:lang w:val="en-US"/>
        </w:rPr>
        <w:t xml:space="preserve">Response table of </w:t>
      </w:r>
      <w:r w:rsidR="00961DF6" w:rsidRPr="00961DF6">
        <w:rPr>
          <w:b w:val="0"/>
          <w:lang w:val="en-US"/>
        </w:rPr>
        <w:t>Mean</w:t>
      </w:r>
      <w:r w:rsidR="00961DF6" w:rsidRPr="00961DF6">
        <w:rPr>
          <w:lang w:val="en-US"/>
        </w:rPr>
        <w:t xml:space="preserve"> </w:t>
      </w:r>
      <w:r w:rsidR="005857B2" w:rsidRPr="005857B2">
        <w:rPr>
          <w:b w:val="0"/>
          <w:lang w:val="en-US"/>
        </w:rPr>
        <w:t>variability</w:t>
      </w:r>
      <w:r w:rsidR="00961DF6">
        <w:rPr>
          <w:b w:val="0"/>
          <w:lang w:val="en-US"/>
        </w:rPr>
        <w:t xml:space="preserve"> analysis</w:t>
      </w:r>
      <w:r w:rsidR="005857B2" w:rsidRPr="005857B2">
        <w:rPr>
          <w:lang w:val="en-US"/>
        </w:rPr>
        <w:t xml:space="preserve"> </w:t>
      </w:r>
    </w:p>
    <w:p w14:paraId="2EE97987" w14:textId="69148CC5" w:rsidR="009D7594" w:rsidRDefault="009D7594" w:rsidP="009D7594">
      <w:pPr>
        <w:pStyle w:val="Caption"/>
        <w:keepNext/>
      </w:pPr>
    </w:p>
    <w:p w14:paraId="4DE7F26E" w14:textId="77777777" w:rsidR="009D7594" w:rsidRDefault="009D7594" w:rsidP="0024000D">
      <w:pPr>
        <w:ind w:firstLine="0"/>
        <w:jc w:val="center"/>
      </w:pPr>
      <w:r>
        <w:rPr>
          <w:noProof/>
          <w:lang w:val="en-MY" w:eastAsia="en-MY"/>
        </w:rPr>
        <w:drawing>
          <wp:inline distT="0" distB="0" distL="0" distR="0" wp14:anchorId="30CA6167" wp14:editId="1D308102">
            <wp:extent cx="4585335" cy="1244600"/>
            <wp:effectExtent l="0" t="0" r="1206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585335" cy="1244600"/>
                    </a:xfrm>
                    <a:prstGeom prst="rect">
                      <a:avLst/>
                    </a:prstGeom>
                    <a:noFill/>
                    <a:ln>
                      <a:noFill/>
                    </a:ln>
                  </pic:spPr>
                </pic:pic>
              </a:graphicData>
            </a:graphic>
          </wp:inline>
        </w:drawing>
      </w:r>
    </w:p>
    <w:p w14:paraId="1FF6BA96" w14:textId="0B14DB5D" w:rsidR="000B6B00" w:rsidRDefault="000B6B00" w:rsidP="000B6B00">
      <w:pPr>
        <w:pStyle w:val="Caption"/>
        <w:keepNext/>
      </w:pPr>
    </w:p>
    <w:p w14:paraId="42B957D5" w14:textId="77777777" w:rsidR="000B6B00" w:rsidRDefault="009D7594" w:rsidP="000B6B00">
      <w:pPr>
        <w:keepNext/>
        <w:jc w:val="center"/>
      </w:pPr>
      <w:r>
        <w:rPr>
          <w:noProof/>
          <w:lang w:val="en-MY" w:eastAsia="en-MY"/>
        </w:rPr>
        <w:drawing>
          <wp:inline distT="0" distB="0" distL="0" distR="0" wp14:anchorId="3DD90D9B" wp14:editId="4AEBD71D">
            <wp:extent cx="3403600" cy="2273300"/>
            <wp:effectExtent l="0" t="0" r="0" b="12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403600" cy="2273300"/>
                    </a:xfrm>
                    <a:prstGeom prst="rect">
                      <a:avLst/>
                    </a:prstGeom>
                    <a:noFill/>
                    <a:ln>
                      <a:noFill/>
                    </a:ln>
                  </pic:spPr>
                </pic:pic>
              </a:graphicData>
            </a:graphic>
          </wp:inline>
        </w:drawing>
      </w:r>
    </w:p>
    <w:p w14:paraId="564C3D40" w14:textId="5040F35B" w:rsidR="009D7594" w:rsidRDefault="006D20C1" w:rsidP="0024000D">
      <w:pPr>
        <w:pStyle w:val="Caption"/>
        <w:ind w:firstLine="0"/>
        <w:jc w:val="both"/>
      </w:pPr>
      <w:r>
        <w:t>Fig.</w:t>
      </w:r>
      <w:r w:rsidR="000B6B00">
        <w:t xml:space="preserve"> </w:t>
      </w:r>
      <w:r w:rsidR="000B6B00">
        <w:fldChar w:fldCharType="begin"/>
      </w:r>
      <w:r w:rsidR="000B6B00">
        <w:instrText xml:space="preserve"> SEQ Figure \* ARABIC </w:instrText>
      </w:r>
      <w:r w:rsidR="000B6B00">
        <w:fldChar w:fldCharType="separate"/>
      </w:r>
      <w:r w:rsidR="000B6B00">
        <w:rPr>
          <w:noProof/>
        </w:rPr>
        <w:t>4</w:t>
      </w:r>
      <w:r w:rsidR="000B6B00">
        <w:fldChar w:fldCharType="end"/>
      </w:r>
      <w:r>
        <w:t>.</w:t>
      </w:r>
      <w:r w:rsidR="005857B2">
        <w:t xml:space="preserve"> </w:t>
      </w:r>
      <w:r w:rsidR="005857B2">
        <w:rPr>
          <w:b w:val="0"/>
          <w:lang w:val="en-US"/>
        </w:rPr>
        <w:t>Mean</w:t>
      </w:r>
      <w:r w:rsidR="005857B2" w:rsidRPr="005857B2">
        <w:rPr>
          <w:b w:val="0"/>
          <w:lang w:val="en-US"/>
        </w:rPr>
        <w:t xml:space="preserve"> variations of green part density at various levels of injection parameters</w:t>
      </w:r>
    </w:p>
    <w:p w14:paraId="45D6B18B" w14:textId="77777777" w:rsidR="007861FF" w:rsidRDefault="007861FF" w:rsidP="009D7594">
      <w:pPr>
        <w:jc w:val="center"/>
      </w:pPr>
    </w:p>
    <w:p w14:paraId="39578604" w14:textId="77777777" w:rsidR="00966D4D" w:rsidRDefault="00966D4D" w:rsidP="00485CF2"/>
    <w:p w14:paraId="5865ED8C" w14:textId="6AF1B52D" w:rsidR="007861FF" w:rsidRDefault="005857B2" w:rsidP="00485CF2">
      <w:r>
        <w:t>Base</w:t>
      </w:r>
      <w:r w:rsidR="00485CF2">
        <w:t xml:space="preserve"> on the analysis of factors and levels the predicted optimisation S/N ratio value is calculated using equation 2 below.</w:t>
      </w:r>
    </w:p>
    <w:p w14:paraId="5DCED88C" w14:textId="77777777" w:rsidR="005857B2" w:rsidRDefault="005857B2" w:rsidP="00485CF2"/>
    <w:p w14:paraId="1660FD46" w14:textId="77777777" w:rsidR="00485CF2" w:rsidRDefault="00485CF2" w:rsidP="00485CF2"/>
    <w:p w14:paraId="56662B87" w14:textId="470385DB" w:rsidR="00485CF2" w:rsidRPr="005857B2" w:rsidRDefault="00E16757" w:rsidP="005857B2">
      <w:pPr>
        <w:pStyle w:val="Caption"/>
        <w:jc w:val="right"/>
        <w:rPr>
          <w:b w:val="0"/>
        </w:rPr>
      </w:pPr>
      <m:oMath>
        <m:f>
          <m:fPr>
            <m:ctrlPr>
              <w:rPr>
                <w:rFonts w:ascii="Cambria Math" w:hAnsi="Cambria Math"/>
                <w:b w:val="0"/>
                <w:bCs w:val="0"/>
                <w:i/>
              </w:rPr>
            </m:ctrlPr>
          </m:fPr>
          <m:num>
            <m:r>
              <m:rPr>
                <m:sty m:val="bi"/>
              </m:rPr>
              <w:rPr>
                <w:rFonts w:ascii="Cambria Math" w:hAnsi="Cambria Math"/>
              </w:rPr>
              <m:t>S</m:t>
            </m:r>
          </m:num>
          <m:den>
            <m:r>
              <m:rPr>
                <m:sty m:val="bi"/>
              </m:rPr>
              <w:rPr>
                <w:rFonts w:ascii="Cambria Math" w:hAnsi="Cambria Math"/>
              </w:rPr>
              <m:t>N</m:t>
            </m:r>
          </m:den>
        </m:f>
        <m:r>
          <m:rPr>
            <m:sty m:val="bi"/>
          </m:rPr>
          <w:rPr>
            <w:rFonts w:ascii="Cambria Math" w:hAnsi="Cambria Math"/>
          </w:rPr>
          <m:t xml:space="preserve"> ratio= </m:t>
        </m:r>
        <m:acc>
          <m:accPr>
            <m:chr m:val="̅"/>
            <m:ctrlPr>
              <w:rPr>
                <w:rFonts w:ascii="Cambria Math" w:hAnsi="Cambria Math"/>
                <w:b w:val="0"/>
                <w:bCs w:val="0"/>
                <w:i/>
              </w:rPr>
            </m:ctrlPr>
          </m:accPr>
          <m:e>
            <m:r>
              <m:rPr>
                <m:sty m:val="bi"/>
              </m:rPr>
              <w:rPr>
                <w:rFonts w:ascii="Cambria Math" w:hAnsi="Cambria Math"/>
              </w:rPr>
              <m:t>T</m:t>
            </m:r>
          </m:e>
        </m:acc>
        <m:r>
          <m:rPr>
            <m:sty m:val="bi"/>
          </m:rPr>
          <w:rPr>
            <w:rFonts w:ascii="Cambria Math" w:hAnsi="Cambria Math"/>
          </w:rPr>
          <m:t>+</m:t>
        </m:r>
        <m:d>
          <m:dPr>
            <m:ctrlPr>
              <w:rPr>
                <w:rFonts w:ascii="Cambria Math" w:hAnsi="Cambria Math"/>
                <w:i/>
              </w:rPr>
            </m:ctrlPr>
          </m:dPr>
          <m:e>
            <m:sSub>
              <m:sSubPr>
                <m:ctrlPr>
                  <w:rPr>
                    <w:rFonts w:ascii="Cambria Math" w:hAnsi="Cambria Math"/>
                    <w:b w:val="0"/>
                    <w:bCs w:val="0"/>
                    <w:i/>
                  </w:rPr>
                </m:ctrlPr>
              </m:sSubPr>
              <m:e>
                <m:acc>
                  <m:accPr>
                    <m:chr m:val="̅"/>
                    <m:ctrlPr>
                      <w:rPr>
                        <w:rFonts w:ascii="Cambria Math" w:hAnsi="Cambria Math"/>
                        <w:b w:val="0"/>
                        <w:bCs w:val="0"/>
                        <w:i/>
                      </w:rPr>
                    </m:ctrlPr>
                  </m:accPr>
                  <m:e>
                    <m:r>
                      <m:rPr>
                        <m:sty m:val="bi"/>
                      </m:rPr>
                      <w:rPr>
                        <w:rFonts w:ascii="Cambria Math" w:hAnsi="Cambria Math"/>
                      </w:rPr>
                      <m:t>A</m:t>
                    </m:r>
                  </m:e>
                </m:acc>
              </m:e>
              <m:sub>
                <m:r>
                  <m:rPr>
                    <m:sty m:val="bi"/>
                  </m:rPr>
                  <w:rPr>
                    <w:rFonts w:ascii="Cambria Math" w:hAnsi="Cambria Math"/>
                  </w:rPr>
                  <m:t>2</m:t>
                </m:r>
              </m:sub>
            </m:sSub>
            <m:r>
              <m:rPr>
                <m:sty m:val="bi"/>
              </m:rPr>
              <w:rPr>
                <w:rFonts w:ascii="Cambria Math" w:hAnsi="Cambria Math"/>
              </w:rPr>
              <m:t>-</m:t>
            </m:r>
            <m:acc>
              <m:accPr>
                <m:chr m:val="̅"/>
                <m:ctrlPr>
                  <w:rPr>
                    <w:rFonts w:ascii="Cambria Math" w:hAnsi="Cambria Math"/>
                    <w:b w:val="0"/>
                    <w:bCs w:val="0"/>
                    <w:i/>
                  </w:rPr>
                </m:ctrlPr>
              </m:accPr>
              <m:e>
                <m:r>
                  <m:rPr>
                    <m:sty m:val="bi"/>
                  </m:rPr>
                  <w:rPr>
                    <w:rFonts w:ascii="Cambria Math" w:hAnsi="Cambria Math"/>
                  </w:rPr>
                  <m:t>T</m:t>
                </m:r>
              </m:e>
            </m:acc>
          </m:e>
        </m:d>
        <m:r>
          <m:rPr>
            <m:sty m:val="bi"/>
          </m:rPr>
          <w:rPr>
            <w:rFonts w:ascii="Cambria Math" w:hAnsi="Cambria Math"/>
          </w:rPr>
          <m:t>+</m:t>
        </m:r>
        <m:d>
          <m:dPr>
            <m:ctrlPr>
              <w:rPr>
                <w:rFonts w:ascii="Cambria Math" w:hAnsi="Cambria Math"/>
                <w:i/>
              </w:rPr>
            </m:ctrlPr>
          </m:dPr>
          <m:e>
            <m:sSub>
              <m:sSubPr>
                <m:ctrlPr>
                  <w:rPr>
                    <w:rFonts w:ascii="Cambria Math" w:hAnsi="Cambria Math"/>
                    <w:b w:val="0"/>
                    <w:bCs w:val="0"/>
                    <w:i/>
                  </w:rPr>
                </m:ctrlPr>
              </m:sSubPr>
              <m:e>
                <m:acc>
                  <m:accPr>
                    <m:chr m:val="̅"/>
                    <m:ctrlPr>
                      <w:rPr>
                        <w:rFonts w:ascii="Cambria Math" w:hAnsi="Cambria Math"/>
                        <w:b w:val="0"/>
                        <w:bCs w:val="0"/>
                        <w:i/>
                      </w:rPr>
                    </m:ctrlPr>
                  </m:accPr>
                  <m:e>
                    <m:r>
                      <m:rPr>
                        <m:sty m:val="bi"/>
                      </m:rPr>
                      <w:rPr>
                        <w:rFonts w:ascii="Cambria Math" w:hAnsi="Cambria Math"/>
                      </w:rPr>
                      <m:t>B</m:t>
                    </m:r>
                  </m:e>
                </m:acc>
              </m:e>
              <m:sub>
                <m:r>
                  <m:rPr>
                    <m:sty m:val="bi"/>
                  </m:rPr>
                  <w:rPr>
                    <w:rFonts w:ascii="Cambria Math" w:hAnsi="Cambria Math"/>
                  </w:rPr>
                  <m:t>2</m:t>
                </m:r>
              </m:sub>
            </m:sSub>
            <m:r>
              <m:rPr>
                <m:sty m:val="bi"/>
              </m:rPr>
              <w:rPr>
                <w:rFonts w:ascii="Cambria Math" w:hAnsi="Cambria Math"/>
              </w:rPr>
              <m:t>-</m:t>
            </m:r>
            <m:acc>
              <m:accPr>
                <m:chr m:val="̅"/>
                <m:ctrlPr>
                  <w:rPr>
                    <w:rFonts w:ascii="Cambria Math" w:hAnsi="Cambria Math"/>
                    <w:b w:val="0"/>
                    <w:bCs w:val="0"/>
                    <w:i/>
                  </w:rPr>
                </m:ctrlPr>
              </m:accPr>
              <m:e>
                <m:r>
                  <m:rPr>
                    <m:sty m:val="bi"/>
                  </m:rPr>
                  <w:rPr>
                    <w:rFonts w:ascii="Cambria Math" w:hAnsi="Cambria Math"/>
                  </w:rPr>
                  <m:t>T</m:t>
                </m:r>
              </m:e>
            </m:acc>
          </m:e>
        </m:d>
        <m:r>
          <m:rPr>
            <m:sty m:val="bi"/>
          </m:rPr>
          <w:rPr>
            <w:rFonts w:ascii="Cambria Math" w:hAnsi="Cambria Math"/>
          </w:rPr>
          <m:t>+</m:t>
        </m:r>
        <m:d>
          <m:dPr>
            <m:ctrlPr>
              <w:rPr>
                <w:rFonts w:ascii="Cambria Math" w:hAnsi="Cambria Math"/>
                <w:i/>
              </w:rPr>
            </m:ctrlPr>
          </m:dPr>
          <m:e>
            <m:sSub>
              <m:sSubPr>
                <m:ctrlPr>
                  <w:rPr>
                    <w:rFonts w:ascii="Cambria Math" w:hAnsi="Cambria Math"/>
                    <w:b w:val="0"/>
                    <w:bCs w:val="0"/>
                    <w:i/>
                  </w:rPr>
                </m:ctrlPr>
              </m:sSubPr>
              <m:e>
                <m:acc>
                  <m:accPr>
                    <m:chr m:val="̅"/>
                    <m:ctrlPr>
                      <w:rPr>
                        <w:rFonts w:ascii="Cambria Math" w:hAnsi="Cambria Math"/>
                        <w:b w:val="0"/>
                        <w:bCs w:val="0"/>
                        <w:i/>
                      </w:rPr>
                    </m:ctrlPr>
                  </m:accPr>
                  <m:e>
                    <m:r>
                      <m:rPr>
                        <m:sty m:val="bi"/>
                      </m:rPr>
                      <w:rPr>
                        <w:rFonts w:ascii="Cambria Math" w:hAnsi="Cambria Math"/>
                      </w:rPr>
                      <m:t>C</m:t>
                    </m:r>
                  </m:e>
                </m:acc>
              </m:e>
              <m:sub>
                <m:r>
                  <m:rPr>
                    <m:sty m:val="bi"/>
                  </m:rPr>
                  <w:rPr>
                    <w:rFonts w:ascii="Cambria Math" w:hAnsi="Cambria Math"/>
                  </w:rPr>
                  <m:t>3</m:t>
                </m:r>
              </m:sub>
            </m:sSub>
            <m:r>
              <m:rPr>
                <m:sty m:val="bi"/>
              </m:rPr>
              <w:rPr>
                <w:rFonts w:ascii="Cambria Math" w:hAnsi="Cambria Math"/>
              </w:rPr>
              <m:t>-</m:t>
            </m:r>
            <m:acc>
              <m:accPr>
                <m:chr m:val="̅"/>
                <m:ctrlPr>
                  <w:rPr>
                    <w:rFonts w:ascii="Cambria Math" w:hAnsi="Cambria Math"/>
                    <w:b w:val="0"/>
                    <w:bCs w:val="0"/>
                    <w:i/>
                  </w:rPr>
                </m:ctrlPr>
              </m:accPr>
              <m:e>
                <m:r>
                  <m:rPr>
                    <m:sty m:val="bi"/>
                  </m:rPr>
                  <w:rPr>
                    <w:rFonts w:ascii="Cambria Math" w:hAnsi="Cambria Math"/>
                  </w:rPr>
                  <m:t>T</m:t>
                </m:r>
              </m:e>
            </m:acc>
          </m:e>
        </m:d>
        <m:r>
          <m:rPr>
            <m:sty m:val="bi"/>
          </m:rPr>
          <w:rPr>
            <w:rFonts w:ascii="Cambria Math" w:hAnsi="Cambria Math"/>
          </w:rPr>
          <m:t>+</m:t>
        </m:r>
        <m:d>
          <m:dPr>
            <m:ctrlPr>
              <w:rPr>
                <w:rFonts w:ascii="Cambria Math" w:hAnsi="Cambria Math"/>
                <w:i/>
              </w:rPr>
            </m:ctrlPr>
          </m:dPr>
          <m:e>
            <m:sSub>
              <m:sSubPr>
                <m:ctrlPr>
                  <w:rPr>
                    <w:rFonts w:ascii="Cambria Math" w:hAnsi="Cambria Math"/>
                    <w:b w:val="0"/>
                    <w:bCs w:val="0"/>
                    <w:i/>
                  </w:rPr>
                </m:ctrlPr>
              </m:sSubPr>
              <m:e>
                <m:acc>
                  <m:accPr>
                    <m:chr m:val="̅"/>
                    <m:ctrlPr>
                      <w:rPr>
                        <w:rFonts w:ascii="Cambria Math" w:hAnsi="Cambria Math"/>
                        <w:b w:val="0"/>
                        <w:bCs w:val="0"/>
                        <w:i/>
                      </w:rPr>
                    </m:ctrlPr>
                  </m:accPr>
                  <m:e>
                    <m:r>
                      <m:rPr>
                        <m:sty m:val="bi"/>
                      </m:rPr>
                      <w:rPr>
                        <w:rFonts w:ascii="Cambria Math" w:hAnsi="Cambria Math"/>
                      </w:rPr>
                      <m:t>D</m:t>
                    </m:r>
                  </m:e>
                </m:acc>
              </m:e>
              <m:sub>
                <m:r>
                  <m:rPr>
                    <m:sty m:val="bi"/>
                  </m:rPr>
                  <w:rPr>
                    <w:rFonts w:ascii="Cambria Math" w:hAnsi="Cambria Math"/>
                  </w:rPr>
                  <m:t>2</m:t>
                </m:r>
              </m:sub>
            </m:sSub>
            <m:r>
              <m:rPr>
                <m:sty m:val="bi"/>
              </m:rPr>
              <w:rPr>
                <w:rFonts w:ascii="Cambria Math" w:hAnsi="Cambria Math"/>
              </w:rPr>
              <m:t>-</m:t>
            </m:r>
            <m:acc>
              <m:accPr>
                <m:chr m:val="̅"/>
                <m:ctrlPr>
                  <w:rPr>
                    <w:rFonts w:ascii="Cambria Math" w:hAnsi="Cambria Math"/>
                    <w:b w:val="0"/>
                    <w:bCs w:val="0"/>
                    <w:i/>
                  </w:rPr>
                </m:ctrlPr>
              </m:accPr>
              <m:e>
                <m:r>
                  <m:rPr>
                    <m:sty m:val="bi"/>
                  </m:rPr>
                  <w:rPr>
                    <w:rFonts w:ascii="Cambria Math" w:hAnsi="Cambria Math"/>
                  </w:rPr>
                  <m:t>T</m:t>
                </m:r>
              </m:e>
            </m:acc>
          </m:e>
        </m:d>
        <m:r>
          <m:rPr>
            <m:sty m:val="bi"/>
          </m:rPr>
          <w:rPr>
            <w:rFonts w:ascii="Cambria Math" w:hAnsi="Cambria Math"/>
          </w:rPr>
          <m:t>+</m:t>
        </m:r>
        <m:d>
          <m:dPr>
            <m:ctrlPr>
              <w:rPr>
                <w:rFonts w:ascii="Cambria Math" w:hAnsi="Cambria Math"/>
                <w:i/>
              </w:rPr>
            </m:ctrlPr>
          </m:dPr>
          <m:e>
            <m:sSub>
              <m:sSubPr>
                <m:ctrlPr>
                  <w:rPr>
                    <w:rFonts w:ascii="Cambria Math" w:hAnsi="Cambria Math"/>
                    <w:b w:val="0"/>
                    <w:bCs w:val="0"/>
                    <w:i/>
                  </w:rPr>
                </m:ctrlPr>
              </m:sSubPr>
              <m:e>
                <m:acc>
                  <m:accPr>
                    <m:chr m:val="̅"/>
                    <m:ctrlPr>
                      <w:rPr>
                        <w:rFonts w:ascii="Cambria Math" w:hAnsi="Cambria Math"/>
                        <w:b w:val="0"/>
                        <w:bCs w:val="0"/>
                        <w:i/>
                      </w:rPr>
                    </m:ctrlPr>
                  </m:accPr>
                  <m:e>
                    <m:r>
                      <m:rPr>
                        <m:sty m:val="bi"/>
                      </m:rPr>
                      <w:rPr>
                        <w:rFonts w:ascii="Cambria Math" w:hAnsi="Cambria Math"/>
                      </w:rPr>
                      <m:t>E</m:t>
                    </m:r>
                  </m:e>
                </m:acc>
              </m:e>
              <m:sub>
                <m:r>
                  <m:rPr>
                    <m:sty m:val="bi"/>
                  </m:rPr>
                  <w:rPr>
                    <w:rFonts w:ascii="Cambria Math" w:hAnsi="Cambria Math"/>
                  </w:rPr>
                  <m:t>2</m:t>
                </m:r>
              </m:sub>
            </m:sSub>
            <m:r>
              <m:rPr>
                <m:sty m:val="bi"/>
              </m:rPr>
              <w:rPr>
                <w:rFonts w:ascii="Cambria Math" w:hAnsi="Cambria Math"/>
              </w:rPr>
              <m:t>-</m:t>
            </m:r>
            <m:acc>
              <m:accPr>
                <m:chr m:val="̅"/>
                <m:ctrlPr>
                  <w:rPr>
                    <w:rFonts w:ascii="Cambria Math" w:hAnsi="Cambria Math"/>
                    <w:b w:val="0"/>
                    <w:bCs w:val="0"/>
                    <w:i/>
                  </w:rPr>
                </m:ctrlPr>
              </m:accPr>
              <m:e>
                <m:r>
                  <m:rPr>
                    <m:sty m:val="bi"/>
                  </m:rPr>
                  <w:rPr>
                    <w:rFonts w:ascii="Cambria Math" w:hAnsi="Cambria Math"/>
                  </w:rPr>
                  <m:t>T</m:t>
                </m:r>
              </m:e>
            </m:acc>
          </m:e>
        </m:d>
        <m:r>
          <m:rPr>
            <m:sty m:val="bi"/>
          </m:rPr>
          <w:rPr>
            <w:rFonts w:ascii="Cambria Math" w:hAnsi="Cambria Math"/>
          </w:rPr>
          <m:t>+</m:t>
        </m:r>
        <m:d>
          <m:dPr>
            <m:ctrlPr>
              <w:rPr>
                <w:rFonts w:ascii="Cambria Math" w:hAnsi="Cambria Math"/>
                <w:i/>
              </w:rPr>
            </m:ctrlPr>
          </m:dPr>
          <m:e>
            <m:sSub>
              <m:sSubPr>
                <m:ctrlPr>
                  <w:rPr>
                    <w:rFonts w:ascii="Cambria Math" w:hAnsi="Cambria Math"/>
                    <w:b w:val="0"/>
                    <w:bCs w:val="0"/>
                    <w:i/>
                  </w:rPr>
                </m:ctrlPr>
              </m:sSubPr>
              <m:e>
                <m:acc>
                  <m:accPr>
                    <m:chr m:val="̅"/>
                    <m:ctrlPr>
                      <w:rPr>
                        <w:rFonts w:ascii="Cambria Math" w:hAnsi="Cambria Math"/>
                        <w:b w:val="0"/>
                        <w:bCs w:val="0"/>
                        <w:i/>
                      </w:rPr>
                    </m:ctrlPr>
                  </m:accPr>
                  <m:e>
                    <m:r>
                      <m:rPr>
                        <m:sty m:val="bi"/>
                      </m:rPr>
                      <w:rPr>
                        <w:rFonts w:ascii="Cambria Math" w:hAnsi="Cambria Math"/>
                      </w:rPr>
                      <m:t>F</m:t>
                    </m:r>
                  </m:e>
                </m:acc>
              </m:e>
              <m:sub>
                <m:r>
                  <m:rPr>
                    <m:sty m:val="bi"/>
                  </m:rPr>
                  <w:rPr>
                    <w:rFonts w:ascii="Cambria Math" w:hAnsi="Cambria Math"/>
                  </w:rPr>
                  <m:t>3</m:t>
                </m:r>
              </m:sub>
            </m:sSub>
            <m:r>
              <m:rPr>
                <m:sty m:val="bi"/>
              </m:rPr>
              <w:rPr>
                <w:rFonts w:ascii="Cambria Math" w:hAnsi="Cambria Math"/>
              </w:rPr>
              <m:t>-</m:t>
            </m:r>
            <m:acc>
              <m:accPr>
                <m:chr m:val="̅"/>
                <m:ctrlPr>
                  <w:rPr>
                    <w:rFonts w:ascii="Cambria Math" w:hAnsi="Cambria Math"/>
                    <w:b w:val="0"/>
                    <w:bCs w:val="0"/>
                    <w:i/>
                  </w:rPr>
                </m:ctrlPr>
              </m:accPr>
              <m:e>
                <m:r>
                  <m:rPr>
                    <m:sty m:val="bi"/>
                  </m:rPr>
                  <w:rPr>
                    <w:rFonts w:ascii="Cambria Math" w:hAnsi="Cambria Math"/>
                  </w:rPr>
                  <m:t>T</m:t>
                </m:r>
              </m:e>
            </m:acc>
          </m:e>
        </m:d>
        <m:r>
          <m:rPr>
            <m:sty m:val="bi"/>
          </m:rPr>
          <w:rPr>
            <w:rFonts w:ascii="Cambria Math" w:hAnsi="Cambria Math"/>
          </w:rPr>
          <m:t>+</m:t>
        </m:r>
        <m:d>
          <m:dPr>
            <m:ctrlPr>
              <w:rPr>
                <w:rFonts w:ascii="Cambria Math" w:hAnsi="Cambria Math"/>
                <w:i/>
              </w:rPr>
            </m:ctrlPr>
          </m:dPr>
          <m:e>
            <m:sSub>
              <m:sSubPr>
                <m:ctrlPr>
                  <w:rPr>
                    <w:rFonts w:ascii="Cambria Math" w:hAnsi="Cambria Math"/>
                    <w:b w:val="0"/>
                    <w:bCs w:val="0"/>
                    <w:i/>
                  </w:rPr>
                </m:ctrlPr>
              </m:sSubPr>
              <m:e>
                <m:acc>
                  <m:accPr>
                    <m:chr m:val="̅"/>
                    <m:ctrlPr>
                      <w:rPr>
                        <w:rFonts w:ascii="Cambria Math" w:hAnsi="Cambria Math"/>
                        <w:b w:val="0"/>
                        <w:bCs w:val="0"/>
                        <w:i/>
                      </w:rPr>
                    </m:ctrlPr>
                  </m:accPr>
                  <m:e>
                    <m:r>
                      <m:rPr>
                        <m:sty m:val="bi"/>
                      </m:rPr>
                      <w:rPr>
                        <w:rFonts w:ascii="Cambria Math" w:hAnsi="Cambria Math"/>
                      </w:rPr>
                      <m:t>G</m:t>
                    </m:r>
                  </m:e>
                </m:acc>
              </m:e>
              <m:sub>
                <m:r>
                  <m:rPr>
                    <m:sty m:val="bi"/>
                  </m:rPr>
                  <w:rPr>
                    <w:rFonts w:ascii="Cambria Math" w:hAnsi="Cambria Math"/>
                  </w:rPr>
                  <m:t>3</m:t>
                </m:r>
              </m:sub>
            </m:sSub>
            <m:r>
              <m:rPr>
                <m:sty m:val="bi"/>
              </m:rPr>
              <w:rPr>
                <w:rFonts w:ascii="Cambria Math" w:hAnsi="Cambria Math"/>
              </w:rPr>
              <m:t>-</m:t>
            </m:r>
            <m:acc>
              <m:accPr>
                <m:chr m:val="̅"/>
                <m:ctrlPr>
                  <w:rPr>
                    <w:rFonts w:ascii="Cambria Math" w:hAnsi="Cambria Math"/>
                    <w:b w:val="0"/>
                    <w:bCs w:val="0"/>
                    <w:i/>
                  </w:rPr>
                </m:ctrlPr>
              </m:accPr>
              <m:e>
                <m:r>
                  <m:rPr>
                    <m:sty m:val="bi"/>
                  </m:rPr>
                  <w:rPr>
                    <w:rFonts w:ascii="Cambria Math" w:hAnsi="Cambria Math"/>
                  </w:rPr>
                  <m:t>T</m:t>
                </m:r>
              </m:e>
            </m:acc>
          </m:e>
        </m:d>
        <m:r>
          <m:rPr>
            <m:sty m:val="bi"/>
          </m:rPr>
          <w:rPr>
            <w:rFonts w:ascii="Cambria Math" w:hAnsi="Cambria Math"/>
          </w:rPr>
          <m:t xml:space="preserve">     </m:t>
        </m:r>
      </m:oMath>
      <w:r w:rsidR="005857B2">
        <w:t>(</w:t>
      </w:r>
      <w:r w:rsidR="005857B2" w:rsidRPr="005857B2">
        <w:rPr>
          <w:b w:val="0"/>
        </w:rPr>
        <w:fldChar w:fldCharType="begin"/>
      </w:r>
      <w:r w:rsidR="005857B2" w:rsidRPr="006D20C1">
        <w:rPr>
          <w:b w:val="0"/>
        </w:rPr>
        <w:instrText xml:space="preserve"> SEQ ( \* ARABIC </w:instrText>
      </w:r>
      <w:r w:rsidR="005857B2" w:rsidRPr="005857B2">
        <w:rPr>
          <w:b w:val="0"/>
        </w:rPr>
        <w:fldChar w:fldCharType="separate"/>
      </w:r>
      <w:r w:rsidR="005857B2" w:rsidRPr="005857B2">
        <w:rPr>
          <w:b w:val="0"/>
          <w:noProof/>
        </w:rPr>
        <w:t>2</w:t>
      </w:r>
      <w:r w:rsidR="005857B2" w:rsidRPr="005857B2">
        <w:rPr>
          <w:b w:val="0"/>
        </w:rPr>
        <w:fldChar w:fldCharType="end"/>
      </w:r>
      <w:r w:rsidR="005857B2" w:rsidRPr="005857B2">
        <w:rPr>
          <w:b w:val="0"/>
        </w:rPr>
        <w:t>)</w:t>
      </w:r>
    </w:p>
    <w:p w14:paraId="2ABBE232" w14:textId="77777777" w:rsidR="00485CF2" w:rsidRDefault="00485CF2" w:rsidP="00485CF2"/>
    <w:p w14:paraId="6356657F" w14:textId="77777777" w:rsidR="005857B2" w:rsidRDefault="005857B2" w:rsidP="00485CF2">
      <w:pPr>
        <w:rPr>
          <w:lang w:val="en-US"/>
        </w:rPr>
      </w:pPr>
    </w:p>
    <w:p w14:paraId="0480B5E5" w14:textId="77777777" w:rsidR="005857B2" w:rsidRDefault="00485CF2" w:rsidP="0024000D">
      <w:pPr>
        <w:rPr>
          <w:lang w:val="en-US"/>
        </w:rPr>
      </w:pPr>
      <w:r w:rsidRPr="00485CF2">
        <w:rPr>
          <w:lang w:val="en-US"/>
        </w:rPr>
        <w:t xml:space="preserve">Where </w:t>
      </w:r>
      <w:r w:rsidRPr="00485CF2">
        <w:rPr>
          <w:rFonts w:ascii="Cambria Math" w:hAnsi="Cambria Math" w:cs="Cambria Math"/>
          <w:lang w:val="en-US"/>
        </w:rPr>
        <w:t>𝑇</w:t>
      </w:r>
      <w:r w:rsidRPr="00485CF2">
        <w:rPr>
          <w:lang w:val="en-US"/>
        </w:rPr>
        <w:t xml:space="preserve"> is the average S/N ratio, </w:t>
      </w:r>
      <m:oMath>
        <m:sSub>
          <m:sSubPr>
            <m:ctrlPr>
              <w:rPr>
                <w:rFonts w:ascii="Cambria Math" w:hAnsi="Cambria Math" w:cs="Cambria Math"/>
                <w:i/>
                <w:lang w:val="en-US"/>
              </w:rPr>
            </m:ctrlPr>
          </m:sSubPr>
          <m:e>
            <m:acc>
              <m:accPr>
                <m:chr m:val="̅"/>
                <m:ctrlPr>
                  <w:rPr>
                    <w:rFonts w:ascii="Cambria Math" w:hAnsi="Cambria Math" w:cs="Cambria Math"/>
                    <w:i/>
                    <w:lang w:val="en-US"/>
                  </w:rPr>
                </m:ctrlPr>
              </m:accPr>
              <m:e>
                <m:r>
                  <w:rPr>
                    <w:rFonts w:ascii="Cambria Math" w:hAnsi="Cambria Math" w:cs="Cambria Math"/>
                    <w:lang w:val="en-US"/>
                  </w:rPr>
                  <m:t>A</m:t>
                </m:r>
              </m:e>
            </m:acc>
          </m:e>
          <m:sub>
            <m:r>
              <w:rPr>
                <w:rFonts w:ascii="Cambria Math" w:hAnsi="Cambria Math" w:cs="Cambria Math"/>
                <w:lang w:val="en-US"/>
              </w:rPr>
              <m:t>2</m:t>
            </m:r>
          </m:sub>
        </m:sSub>
      </m:oMath>
      <w:r w:rsidRPr="00485CF2">
        <w:rPr>
          <w:lang w:val="en-US"/>
        </w:rPr>
        <w:t xml:space="preserve"> is the injection temperature level 2, </w:t>
      </w:r>
      <m:oMath>
        <m:sSub>
          <m:sSubPr>
            <m:ctrlPr>
              <w:rPr>
                <w:rFonts w:ascii="Cambria Math" w:hAnsi="Cambria Math"/>
                <w:b/>
                <w:bCs/>
                <w:i/>
              </w:rPr>
            </m:ctrlPr>
          </m:sSubPr>
          <m:e>
            <m:acc>
              <m:accPr>
                <m:chr m:val="̅"/>
                <m:ctrlPr>
                  <w:rPr>
                    <w:rFonts w:ascii="Cambria Math" w:hAnsi="Cambria Math"/>
                    <w:b/>
                    <w:bCs/>
                    <w:i/>
                  </w:rPr>
                </m:ctrlPr>
              </m:accPr>
              <m:e>
                <m:r>
                  <m:rPr>
                    <m:sty m:val="bi"/>
                  </m:rPr>
                  <w:rPr>
                    <w:rFonts w:ascii="Cambria Math" w:hAnsi="Cambria Math"/>
                  </w:rPr>
                  <m:t>B</m:t>
                </m:r>
              </m:e>
            </m:acc>
          </m:e>
          <m:sub>
            <m:r>
              <w:rPr>
                <w:rFonts w:ascii="Cambria Math" w:hAnsi="Cambria Math"/>
              </w:rPr>
              <m:t>2</m:t>
            </m:r>
          </m:sub>
        </m:sSub>
      </m:oMath>
      <w:r w:rsidRPr="00485CF2">
        <w:rPr>
          <w:lang w:val="en-US"/>
        </w:rPr>
        <w:t xml:space="preserve"> is the injection pressure level 2, </w:t>
      </w:r>
      <m:oMath>
        <m:sSub>
          <m:sSubPr>
            <m:ctrlPr>
              <w:rPr>
                <w:rFonts w:ascii="Cambria Math" w:hAnsi="Cambria Math"/>
                <w:b/>
                <w:bCs/>
                <w:i/>
              </w:rPr>
            </m:ctrlPr>
          </m:sSubPr>
          <m:e>
            <m:acc>
              <m:accPr>
                <m:chr m:val="̅"/>
                <m:ctrlPr>
                  <w:rPr>
                    <w:rFonts w:ascii="Cambria Math" w:hAnsi="Cambria Math"/>
                    <w:b/>
                    <w:bCs/>
                    <w:i/>
                  </w:rPr>
                </m:ctrlPr>
              </m:accPr>
              <m:e>
                <m:r>
                  <m:rPr>
                    <m:sty m:val="bi"/>
                  </m:rPr>
                  <w:rPr>
                    <w:rFonts w:ascii="Cambria Math" w:hAnsi="Cambria Math"/>
                  </w:rPr>
                  <m:t>C</m:t>
                </m:r>
              </m:e>
            </m:acc>
          </m:e>
          <m:sub>
            <m:r>
              <m:rPr>
                <m:sty m:val="bi"/>
              </m:rPr>
              <w:rPr>
                <w:rFonts w:ascii="Cambria Math" w:hAnsi="Cambria Math"/>
              </w:rPr>
              <m:t>3</m:t>
            </m:r>
          </m:sub>
        </m:sSub>
        <m:r>
          <m:rPr>
            <m:sty m:val="bi"/>
          </m:rPr>
          <w:rPr>
            <w:rFonts w:ascii="Cambria Math" w:hAnsi="Cambria Math"/>
          </w:rPr>
          <m:t xml:space="preserve"> </m:t>
        </m:r>
      </m:oMath>
      <w:r w:rsidRPr="00485CF2">
        <w:rPr>
          <w:lang w:val="en-US"/>
        </w:rPr>
        <w:t xml:space="preserve">is the mould temperature level 3, </w:t>
      </w:r>
      <m:oMath>
        <m:sSub>
          <m:sSubPr>
            <m:ctrlPr>
              <w:rPr>
                <w:rFonts w:ascii="Cambria Math" w:hAnsi="Cambria Math"/>
                <w:b/>
                <w:bCs/>
                <w:i/>
              </w:rPr>
            </m:ctrlPr>
          </m:sSubPr>
          <m:e>
            <m:acc>
              <m:accPr>
                <m:chr m:val="̅"/>
                <m:ctrlPr>
                  <w:rPr>
                    <w:rFonts w:ascii="Cambria Math" w:hAnsi="Cambria Math"/>
                    <w:b/>
                    <w:bCs/>
                    <w:i/>
                  </w:rPr>
                </m:ctrlPr>
              </m:accPr>
              <m:e>
                <m:r>
                  <m:rPr>
                    <m:sty m:val="bi"/>
                  </m:rPr>
                  <w:rPr>
                    <w:rFonts w:ascii="Cambria Math" w:hAnsi="Cambria Math"/>
                  </w:rPr>
                  <m:t>D</m:t>
                </m:r>
              </m:e>
            </m:acc>
          </m:e>
          <m:sub>
            <m:r>
              <w:rPr>
                <w:rFonts w:ascii="Cambria Math" w:hAnsi="Cambria Math"/>
              </w:rPr>
              <m:t>2</m:t>
            </m:r>
          </m:sub>
        </m:sSub>
      </m:oMath>
      <w:r w:rsidRPr="00485CF2">
        <w:rPr>
          <w:lang w:val="en-US"/>
        </w:rPr>
        <w:t xml:space="preserve"> is cool time level 2, </w:t>
      </w:r>
      <m:oMath>
        <m:sSub>
          <m:sSubPr>
            <m:ctrlPr>
              <w:rPr>
                <w:rFonts w:ascii="Cambria Math" w:hAnsi="Cambria Math"/>
                <w:b/>
                <w:bCs/>
                <w:i/>
              </w:rPr>
            </m:ctrlPr>
          </m:sSubPr>
          <m:e>
            <m:acc>
              <m:accPr>
                <m:chr m:val="̅"/>
                <m:ctrlPr>
                  <w:rPr>
                    <w:rFonts w:ascii="Cambria Math" w:hAnsi="Cambria Math"/>
                    <w:b/>
                    <w:bCs/>
                    <w:i/>
                  </w:rPr>
                </m:ctrlPr>
              </m:accPr>
              <m:e>
                <m:r>
                  <m:rPr>
                    <m:sty m:val="bi"/>
                  </m:rPr>
                  <w:rPr>
                    <w:rFonts w:ascii="Cambria Math" w:hAnsi="Cambria Math"/>
                  </w:rPr>
                  <m:t>E</m:t>
                </m:r>
              </m:e>
            </m:acc>
          </m:e>
          <m:sub>
            <m:r>
              <w:rPr>
                <w:rFonts w:ascii="Cambria Math" w:hAnsi="Cambria Math"/>
              </w:rPr>
              <m:t>2</m:t>
            </m:r>
          </m:sub>
        </m:sSub>
      </m:oMath>
      <w:r w:rsidRPr="00485CF2">
        <w:rPr>
          <w:lang w:val="en-US"/>
        </w:rPr>
        <w:t xml:space="preserve"> is injection speed level 2, </w:t>
      </w:r>
      <m:oMath>
        <m:sSub>
          <m:sSubPr>
            <m:ctrlPr>
              <w:rPr>
                <w:rFonts w:ascii="Cambria Math" w:hAnsi="Cambria Math"/>
                <w:b/>
                <w:bCs/>
                <w:i/>
              </w:rPr>
            </m:ctrlPr>
          </m:sSubPr>
          <m:e>
            <m:acc>
              <m:accPr>
                <m:chr m:val="̅"/>
                <m:ctrlPr>
                  <w:rPr>
                    <w:rFonts w:ascii="Cambria Math" w:hAnsi="Cambria Math"/>
                    <w:b/>
                    <w:bCs/>
                    <w:i/>
                  </w:rPr>
                </m:ctrlPr>
              </m:accPr>
              <m:e>
                <m:r>
                  <m:rPr>
                    <m:sty m:val="bi"/>
                  </m:rPr>
                  <w:rPr>
                    <w:rFonts w:ascii="Cambria Math" w:hAnsi="Cambria Math"/>
                  </w:rPr>
                  <m:t>F</m:t>
                </m:r>
              </m:e>
            </m:acc>
          </m:e>
          <m:sub>
            <m:r>
              <m:rPr>
                <m:sty m:val="bi"/>
              </m:rPr>
              <w:rPr>
                <w:rFonts w:ascii="Cambria Math" w:hAnsi="Cambria Math"/>
              </w:rPr>
              <m:t>3</m:t>
            </m:r>
          </m:sub>
        </m:sSub>
      </m:oMath>
      <w:r w:rsidRPr="00485CF2">
        <w:rPr>
          <w:lang w:val="en-US"/>
        </w:rPr>
        <w:t xml:space="preserve"> is injection time level 3 and </w:t>
      </w:r>
      <m:oMath>
        <m:sSub>
          <m:sSubPr>
            <m:ctrlPr>
              <w:rPr>
                <w:rFonts w:ascii="Cambria Math" w:hAnsi="Cambria Math"/>
                <w:b/>
                <w:bCs/>
                <w:i/>
              </w:rPr>
            </m:ctrlPr>
          </m:sSubPr>
          <m:e>
            <m:acc>
              <m:accPr>
                <m:chr m:val="̅"/>
                <m:ctrlPr>
                  <w:rPr>
                    <w:rFonts w:ascii="Cambria Math" w:hAnsi="Cambria Math"/>
                    <w:b/>
                    <w:bCs/>
                    <w:i/>
                  </w:rPr>
                </m:ctrlPr>
              </m:accPr>
              <m:e>
                <m:r>
                  <m:rPr>
                    <m:sty m:val="bi"/>
                  </m:rPr>
                  <w:rPr>
                    <w:rFonts w:ascii="Cambria Math" w:hAnsi="Cambria Math"/>
                  </w:rPr>
                  <m:t>G</m:t>
                </m:r>
              </m:e>
            </m:acc>
          </m:e>
          <m:sub>
            <m:r>
              <m:rPr>
                <m:sty m:val="bi"/>
              </m:rPr>
              <w:rPr>
                <w:rFonts w:ascii="Cambria Math" w:hAnsi="Cambria Math"/>
              </w:rPr>
              <m:t>3</m:t>
            </m:r>
          </m:sub>
        </m:sSub>
      </m:oMath>
      <w:r w:rsidRPr="00485CF2">
        <w:rPr>
          <w:lang w:val="en-US"/>
        </w:rPr>
        <w:t xml:space="preserve"> is packing time level 3. </w:t>
      </w:r>
      <w:r w:rsidR="001B389F">
        <w:rPr>
          <w:lang w:val="en-US"/>
        </w:rPr>
        <w:t xml:space="preserve"> </w:t>
      </w:r>
    </w:p>
    <w:p w14:paraId="6576ECC0" w14:textId="77777777" w:rsidR="005857B2" w:rsidRDefault="005857B2" w:rsidP="0024000D">
      <w:pPr>
        <w:rPr>
          <w:lang w:val="en-US"/>
        </w:rPr>
      </w:pPr>
    </w:p>
    <w:p w14:paraId="20C52CE9" w14:textId="77777777" w:rsidR="001E479A" w:rsidRDefault="001E479A" w:rsidP="00185047">
      <w:pPr>
        <w:rPr>
          <w:lang w:val="en-US"/>
        </w:rPr>
      </w:pPr>
    </w:p>
    <w:p w14:paraId="2D34406A" w14:textId="6F6C48E9" w:rsidR="00485CF2" w:rsidRDefault="009D44E8" w:rsidP="00996FDB">
      <w:pPr>
        <w:ind w:firstLine="0"/>
        <w:rPr>
          <w:lang w:val="en-US"/>
        </w:rPr>
      </w:pPr>
      <w:r>
        <w:rPr>
          <w:lang w:val="en-US"/>
        </w:rPr>
        <w:t>Therefore,</w:t>
      </w:r>
      <w:r w:rsidR="001B389F">
        <w:rPr>
          <w:lang w:val="en-US"/>
        </w:rPr>
        <w:t xml:space="preserve"> predicted S/N ratio is;</w:t>
      </w:r>
    </w:p>
    <w:p w14:paraId="4045C183" w14:textId="6682BEBE" w:rsidR="001B389F" w:rsidRPr="00485CF2" w:rsidRDefault="003D6F2E" w:rsidP="0024000D">
      <w:pPr>
        <w:ind w:firstLine="0"/>
        <w:rPr>
          <w:lang w:val="en-US"/>
        </w:rPr>
      </w:pPr>
      <w:r>
        <w:rPr>
          <w:noProof/>
          <w:lang w:val="en-MY" w:eastAsia="en-MY"/>
        </w:rPr>
        <w:drawing>
          <wp:inline distT="0" distB="0" distL="0" distR="0" wp14:anchorId="40DC5DF5" wp14:editId="40D2FB37">
            <wp:extent cx="4668520" cy="110680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stretch>
                      <a:fillRect/>
                    </a:stretch>
                  </pic:blipFill>
                  <pic:spPr>
                    <a:xfrm>
                      <a:off x="0" y="0"/>
                      <a:ext cx="4668520" cy="1106805"/>
                    </a:xfrm>
                    <a:prstGeom prst="rect">
                      <a:avLst/>
                    </a:prstGeom>
                  </pic:spPr>
                </pic:pic>
              </a:graphicData>
            </a:graphic>
          </wp:inline>
        </w:drawing>
      </w:r>
      <w:bookmarkStart w:id="0" w:name="_GoBack"/>
      <w:bookmarkEnd w:id="0"/>
    </w:p>
    <w:p w14:paraId="04E17095" w14:textId="41FCBE31" w:rsidR="00485CF2" w:rsidRDefault="00485CF2" w:rsidP="00485CF2"/>
    <w:p w14:paraId="57A8C47E" w14:textId="73CFCD8D" w:rsidR="00485CF2" w:rsidRPr="009D7594" w:rsidRDefault="001B389F" w:rsidP="00996FDB">
      <w:r>
        <w:t xml:space="preserve">Confirmation analysis was done base on the selected levels of factors with 10 replications of injected moulded sample. The </w:t>
      </w:r>
      <w:r w:rsidR="004B3B1D">
        <w:t>results of S/N ratio density obtained for 10 replications are</w:t>
      </w:r>
      <w:r>
        <w:t xml:space="preserve"> 60.65</w:t>
      </w:r>
      <w:r w:rsidR="004B3B1D">
        <w:t>,</w:t>
      </w:r>
      <w:r>
        <w:t xml:space="preserve"> which is </w:t>
      </w:r>
      <w:r w:rsidR="000B6B00">
        <w:t xml:space="preserve">0.4% difference </w:t>
      </w:r>
      <w:r w:rsidR="004B3B1D">
        <w:t xml:space="preserve">and </w:t>
      </w:r>
      <w:r w:rsidR="000B6B00">
        <w:t>below 10%</w:t>
      </w:r>
      <w:r w:rsidR="004B3B1D">
        <w:t xml:space="preserve"> as compare to the predicted S/N ratio.</w:t>
      </w:r>
      <w:r w:rsidR="000B6B00">
        <w:t xml:space="preserve"> </w:t>
      </w:r>
    </w:p>
    <w:p w14:paraId="64297761" w14:textId="77777777" w:rsidR="001B389F" w:rsidRDefault="001B389F" w:rsidP="003617C6">
      <w:pPr>
        <w:pStyle w:val="Bodytext"/>
        <w:ind w:firstLine="284"/>
        <w:rPr>
          <w:lang w:val="en-GB"/>
        </w:rPr>
      </w:pPr>
    </w:p>
    <w:p w14:paraId="5148F305" w14:textId="174C37C2" w:rsidR="005857B2" w:rsidRPr="005857B2" w:rsidRDefault="000B6B00" w:rsidP="005857B2">
      <w:pPr>
        <w:pStyle w:val="Caption"/>
        <w:keepNext/>
        <w:rPr>
          <w:lang w:val="en-US"/>
        </w:rPr>
      </w:pPr>
      <w:r>
        <w:t xml:space="preserve">Table </w:t>
      </w:r>
      <w:r>
        <w:fldChar w:fldCharType="begin"/>
      </w:r>
      <w:r>
        <w:instrText xml:space="preserve"> SEQ Table \* ARABIC </w:instrText>
      </w:r>
      <w:r>
        <w:fldChar w:fldCharType="separate"/>
      </w:r>
      <w:r>
        <w:rPr>
          <w:noProof/>
        </w:rPr>
        <w:t>9</w:t>
      </w:r>
      <w:r>
        <w:fldChar w:fldCharType="end"/>
      </w:r>
      <w:r w:rsidR="005857B2">
        <w:t xml:space="preserve">: </w:t>
      </w:r>
      <w:r w:rsidR="005857B2">
        <w:rPr>
          <w:b w:val="0"/>
          <w:lang w:val="en-US"/>
        </w:rPr>
        <w:t>Mean and S/N ratio of confirmation test base on the optimized parameters with 10 replications sample</w:t>
      </w:r>
      <w:r w:rsidR="005857B2" w:rsidRPr="005857B2">
        <w:rPr>
          <w:lang w:val="en-US"/>
        </w:rPr>
        <w:t xml:space="preserve"> </w:t>
      </w:r>
    </w:p>
    <w:p w14:paraId="00A73B14" w14:textId="1E6568DB" w:rsidR="000B6B00" w:rsidRDefault="000B6B00" w:rsidP="000B6B00">
      <w:pPr>
        <w:pStyle w:val="Caption"/>
        <w:keepNext/>
      </w:pPr>
    </w:p>
    <w:p w14:paraId="5AD85C2E" w14:textId="38506674" w:rsidR="005E0092" w:rsidRDefault="003D6F2E" w:rsidP="0024000D">
      <w:pPr>
        <w:pStyle w:val="Bodytext"/>
        <w:rPr>
          <w:lang w:val="en-GB"/>
        </w:rPr>
      </w:pPr>
      <w:r>
        <w:rPr>
          <w:noProof/>
          <w:lang w:val="en-MY" w:eastAsia="en-MY"/>
        </w:rPr>
        <w:drawing>
          <wp:inline distT="0" distB="0" distL="0" distR="0" wp14:anchorId="7F77525E" wp14:editId="3746BEBA">
            <wp:extent cx="4668520" cy="57340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a:stretch>
                      <a:fillRect/>
                    </a:stretch>
                  </pic:blipFill>
                  <pic:spPr>
                    <a:xfrm>
                      <a:off x="0" y="0"/>
                      <a:ext cx="4668520" cy="573405"/>
                    </a:xfrm>
                    <a:prstGeom prst="rect">
                      <a:avLst/>
                    </a:prstGeom>
                  </pic:spPr>
                </pic:pic>
              </a:graphicData>
            </a:graphic>
          </wp:inline>
        </w:drawing>
      </w:r>
    </w:p>
    <w:p w14:paraId="50A1926E" w14:textId="77777777" w:rsidR="00185047" w:rsidRPr="00185047" w:rsidRDefault="00185047" w:rsidP="00185047">
      <w:pPr>
        <w:pStyle w:val="BodytextIndented"/>
        <w:rPr>
          <w:lang w:val="en-GB"/>
        </w:rPr>
      </w:pPr>
    </w:p>
    <w:p w14:paraId="395535DD" w14:textId="77777777" w:rsidR="00B52968" w:rsidRDefault="00B52968" w:rsidP="0024000D">
      <w:pPr>
        <w:pStyle w:val="Heading2"/>
      </w:pPr>
      <w:r>
        <w:t>Conclusion</w:t>
      </w:r>
    </w:p>
    <w:p w14:paraId="1500415F" w14:textId="0EE72914" w:rsidR="0002465A" w:rsidRDefault="00B52968" w:rsidP="00B52968">
      <w:pPr>
        <w:pStyle w:val="BodytextIndented"/>
        <w:ind w:firstLine="0"/>
      </w:pPr>
      <w:r>
        <w:t xml:space="preserve">From the results and discussion, </w:t>
      </w:r>
      <w:r w:rsidR="000B6B00">
        <w:t xml:space="preserve">Taguchi L27 was successfully being implemented in determining the optimum green density of </w:t>
      </w:r>
      <w:proofErr w:type="spellStart"/>
      <w:r w:rsidR="000B6B00">
        <w:t>moulded</w:t>
      </w:r>
      <w:proofErr w:type="spellEnd"/>
      <w:r w:rsidR="000B6B00">
        <w:t xml:space="preserve"> stainless steel powder. </w:t>
      </w:r>
      <w:r w:rsidR="005857B2">
        <w:t xml:space="preserve">Base on the experimental results, cooling time plays significant contribution to density followed by injection pressure, time, speed, </w:t>
      </w:r>
      <w:proofErr w:type="spellStart"/>
      <w:r w:rsidR="005857B2">
        <w:t>mould</w:t>
      </w:r>
      <w:proofErr w:type="spellEnd"/>
      <w:r w:rsidR="005857B2">
        <w:t xml:space="preserve"> temperature, packing time and injection temperature. </w:t>
      </w:r>
      <w:r w:rsidR="005D6893">
        <w:t>Results of confirmation test also indicate</w:t>
      </w:r>
      <w:r w:rsidR="005857B2">
        <w:t xml:space="preserve"> </w:t>
      </w:r>
      <w:r w:rsidR="00A31052">
        <w:t>of 0.4% difference as compare to the predicted value of the S/N ratio base on the selected parameters.</w:t>
      </w:r>
    </w:p>
    <w:p w14:paraId="251CC924" w14:textId="2F319624" w:rsidR="00830678" w:rsidRDefault="00830678" w:rsidP="00830678">
      <w:pPr>
        <w:pStyle w:val="Heading2"/>
      </w:pPr>
      <w:r>
        <w:t xml:space="preserve">Acknowledgement </w:t>
      </w:r>
    </w:p>
    <w:p w14:paraId="1C59C204" w14:textId="45F610AF" w:rsidR="00830678" w:rsidRPr="00830678" w:rsidRDefault="00830678" w:rsidP="00830678">
      <w:pPr>
        <w:ind w:firstLine="0"/>
        <w:rPr>
          <w:lang w:val="en-US"/>
        </w:rPr>
      </w:pPr>
      <w:r>
        <w:t xml:space="preserve">Special thanks dedicated to </w:t>
      </w:r>
      <w:r w:rsidRPr="00830678">
        <w:rPr>
          <w:lang w:val="en-US"/>
        </w:rPr>
        <w:t xml:space="preserve">Office for Research, Innovation, Commercialization, </w:t>
      </w:r>
      <w:r>
        <w:rPr>
          <w:lang w:val="en-US"/>
        </w:rPr>
        <w:t xml:space="preserve">Consultancy Management (ORICC), </w:t>
      </w:r>
      <w:proofErr w:type="spellStart"/>
      <w:r w:rsidRPr="00830678">
        <w:rPr>
          <w:lang w:val="en-US"/>
        </w:rPr>
        <w:t>Universiti</w:t>
      </w:r>
      <w:proofErr w:type="spellEnd"/>
      <w:r w:rsidRPr="00830678">
        <w:rPr>
          <w:lang w:val="en-US"/>
        </w:rPr>
        <w:t xml:space="preserve"> </w:t>
      </w:r>
      <w:proofErr w:type="spellStart"/>
      <w:r w:rsidRPr="00830678">
        <w:rPr>
          <w:lang w:val="en-US"/>
        </w:rPr>
        <w:t>Tun</w:t>
      </w:r>
      <w:proofErr w:type="spellEnd"/>
      <w:r w:rsidRPr="00830678">
        <w:rPr>
          <w:lang w:val="en-US"/>
        </w:rPr>
        <w:t xml:space="preserve"> Hussein Onn Malaysia (UT</w:t>
      </w:r>
      <w:r>
        <w:rPr>
          <w:lang w:val="en-US"/>
        </w:rPr>
        <w:t>HM) for their support throughout publishing this paper.</w:t>
      </w:r>
    </w:p>
    <w:p w14:paraId="1E4F86F9" w14:textId="77777777" w:rsidR="0002465A" w:rsidRDefault="0002465A" w:rsidP="0002465A">
      <w:pPr>
        <w:pStyle w:val="BodytextIndented"/>
        <w:ind w:firstLine="0"/>
        <w:jc w:val="center"/>
      </w:pPr>
    </w:p>
    <w:p w14:paraId="6BF9CF87" w14:textId="77777777" w:rsidR="00FB74E2" w:rsidRDefault="00FB74E2" w:rsidP="0024000D">
      <w:pPr>
        <w:pStyle w:val="Heading2"/>
      </w:pPr>
      <w:r>
        <w:lastRenderedPageBreak/>
        <w:t xml:space="preserve">Reference </w:t>
      </w:r>
    </w:p>
    <w:p w14:paraId="2664D66F" w14:textId="77777777" w:rsidR="000B6B00" w:rsidRPr="000B6B00" w:rsidRDefault="000B6B00" w:rsidP="000B6B00">
      <w:pPr>
        <w:pStyle w:val="Bodytext"/>
      </w:pPr>
    </w:p>
    <w:p w14:paraId="74BF9356" w14:textId="1CB33E3C" w:rsidR="00966D4D" w:rsidRPr="00966D4D" w:rsidRDefault="000B6B00" w:rsidP="00966D4D">
      <w:pPr>
        <w:widowControl w:val="0"/>
        <w:autoSpaceDE w:val="0"/>
        <w:autoSpaceDN w:val="0"/>
        <w:adjustRightInd w:val="0"/>
        <w:ind w:left="640" w:hanging="640"/>
        <w:rPr>
          <w:noProof/>
          <w:szCs w:val="24"/>
          <w:lang w:val="en-US"/>
        </w:rPr>
      </w:pPr>
      <w:r>
        <w:fldChar w:fldCharType="begin" w:fldLock="1"/>
      </w:r>
      <w:r>
        <w:instrText xml:space="preserve">ADDIN Mendeley Bibliography CSL_BIBLIOGRAPHY </w:instrText>
      </w:r>
      <w:r>
        <w:fldChar w:fldCharType="separate"/>
      </w:r>
      <w:r w:rsidR="00966D4D" w:rsidRPr="00966D4D">
        <w:rPr>
          <w:noProof/>
          <w:szCs w:val="24"/>
          <w:lang w:val="en-US"/>
        </w:rPr>
        <w:t>[1]</w:t>
      </w:r>
      <w:r w:rsidR="00966D4D" w:rsidRPr="00966D4D">
        <w:rPr>
          <w:noProof/>
          <w:szCs w:val="24"/>
          <w:lang w:val="en-US"/>
        </w:rPr>
        <w:tab/>
        <w:t xml:space="preserve">X. Kong, T. Barriere, and J. C. C. Gelin, “Determination of critical and optimal powder loadings for 316L fine stainless steel feedstocks for micro-powder injection molding,” </w:t>
      </w:r>
      <w:r w:rsidR="00966D4D" w:rsidRPr="00966D4D">
        <w:rPr>
          <w:i/>
          <w:iCs/>
          <w:noProof/>
          <w:szCs w:val="24"/>
          <w:lang w:val="en-US"/>
        </w:rPr>
        <w:t>J. Mater. Process. Technol.</w:t>
      </w:r>
      <w:r w:rsidR="00966D4D" w:rsidRPr="00966D4D">
        <w:rPr>
          <w:noProof/>
          <w:szCs w:val="24"/>
          <w:lang w:val="en-US"/>
        </w:rPr>
        <w:t>, vol. 212, no. 11, pp. 2173–2182, Nov. 2012.</w:t>
      </w:r>
    </w:p>
    <w:p w14:paraId="74843FE0" w14:textId="77777777" w:rsidR="00966D4D" w:rsidRPr="00966D4D" w:rsidRDefault="00966D4D" w:rsidP="00966D4D">
      <w:pPr>
        <w:widowControl w:val="0"/>
        <w:autoSpaceDE w:val="0"/>
        <w:autoSpaceDN w:val="0"/>
        <w:adjustRightInd w:val="0"/>
        <w:ind w:left="640" w:hanging="640"/>
        <w:rPr>
          <w:noProof/>
          <w:szCs w:val="24"/>
          <w:lang w:val="en-US"/>
        </w:rPr>
      </w:pPr>
      <w:r w:rsidRPr="00966D4D">
        <w:rPr>
          <w:noProof/>
          <w:szCs w:val="24"/>
          <w:lang w:val="en-US"/>
        </w:rPr>
        <w:t>[2]</w:t>
      </w:r>
      <w:r w:rsidRPr="00966D4D">
        <w:rPr>
          <w:noProof/>
          <w:szCs w:val="24"/>
          <w:lang w:val="en-US"/>
        </w:rPr>
        <w:tab/>
        <w:t xml:space="preserve">H. Abolhasani and N. Muhamad, “A new starch-based binder for metal injection molding,” </w:t>
      </w:r>
      <w:r w:rsidRPr="00966D4D">
        <w:rPr>
          <w:i/>
          <w:iCs/>
          <w:noProof/>
          <w:szCs w:val="24"/>
          <w:lang w:val="en-US"/>
        </w:rPr>
        <w:t>J. Mater. Process. Technol.</w:t>
      </w:r>
      <w:r w:rsidRPr="00966D4D">
        <w:rPr>
          <w:noProof/>
          <w:szCs w:val="24"/>
          <w:lang w:val="en-US"/>
        </w:rPr>
        <w:t>, vol. 210, no. 6–7, pp. 961–968, 2010.</w:t>
      </w:r>
    </w:p>
    <w:p w14:paraId="10937B79" w14:textId="77777777" w:rsidR="00966D4D" w:rsidRPr="00966D4D" w:rsidRDefault="00966D4D" w:rsidP="00966D4D">
      <w:pPr>
        <w:widowControl w:val="0"/>
        <w:autoSpaceDE w:val="0"/>
        <w:autoSpaceDN w:val="0"/>
        <w:adjustRightInd w:val="0"/>
        <w:ind w:left="640" w:hanging="640"/>
        <w:rPr>
          <w:noProof/>
          <w:szCs w:val="24"/>
          <w:lang w:val="en-US"/>
        </w:rPr>
      </w:pPr>
      <w:r w:rsidRPr="00966D4D">
        <w:rPr>
          <w:noProof/>
          <w:szCs w:val="24"/>
          <w:lang w:val="en-US"/>
        </w:rPr>
        <w:t>[3]</w:t>
      </w:r>
      <w:r w:rsidRPr="00966D4D">
        <w:rPr>
          <w:noProof/>
          <w:szCs w:val="24"/>
          <w:lang w:val="en-US"/>
        </w:rPr>
        <w:tab/>
        <w:t xml:space="preserve">S. Ahn, S. Jin, S. Lee, S. V. Atre, R. M. German, S. J. Park, S. Lee, S. V. Atre, R. M. German, S. Jin, S. Lee, S. V. Atre, and R. M. German, “Effect of powders and binders on material properties and molding parameters in iron and stainless steel powder injection molding process,” </w:t>
      </w:r>
      <w:r w:rsidRPr="00966D4D">
        <w:rPr>
          <w:i/>
          <w:iCs/>
          <w:noProof/>
          <w:szCs w:val="24"/>
          <w:lang w:val="en-US"/>
        </w:rPr>
        <w:t>Powder Technol.</w:t>
      </w:r>
      <w:r w:rsidRPr="00966D4D">
        <w:rPr>
          <w:noProof/>
          <w:szCs w:val="24"/>
          <w:lang w:val="en-US"/>
        </w:rPr>
        <w:t>, vol. 193, no. 2, pp. 162–169, Jul. 2009.</w:t>
      </w:r>
    </w:p>
    <w:p w14:paraId="04F4979E" w14:textId="77777777" w:rsidR="00966D4D" w:rsidRPr="00966D4D" w:rsidRDefault="00966D4D" w:rsidP="00966D4D">
      <w:pPr>
        <w:widowControl w:val="0"/>
        <w:autoSpaceDE w:val="0"/>
        <w:autoSpaceDN w:val="0"/>
        <w:adjustRightInd w:val="0"/>
        <w:ind w:left="640" w:hanging="640"/>
        <w:rPr>
          <w:noProof/>
          <w:szCs w:val="24"/>
          <w:lang w:val="en-US"/>
        </w:rPr>
      </w:pPr>
      <w:r w:rsidRPr="00966D4D">
        <w:rPr>
          <w:noProof/>
          <w:szCs w:val="24"/>
          <w:lang w:val="en-US"/>
        </w:rPr>
        <w:t>[4]</w:t>
      </w:r>
      <w:r w:rsidRPr="00966D4D">
        <w:rPr>
          <w:noProof/>
          <w:szCs w:val="24"/>
          <w:lang w:val="en-US"/>
        </w:rPr>
        <w:tab/>
        <w:t xml:space="preserve">M. A. Omar, I. Subuki, N. Abdullah, and M. F. Ismail, “The Influence Of Palm Stearin Content On The Rheological Behaviour Of 316L Stainless Steel Mim Compact,” </w:t>
      </w:r>
      <w:r w:rsidRPr="00966D4D">
        <w:rPr>
          <w:i/>
          <w:iCs/>
          <w:noProof/>
          <w:szCs w:val="24"/>
          <w:lang w:val="en-US"/>
        </w:rPr>
        <w:t>J. Sci. Technol.</w:t>
      </w:r>
      <w:r w:rsidRPr="00966D4D">
        <w:rPr>
          <w:noProof/>
          <w:szCs w:val="24"/>
          <w:lang w:val="en-US"/>
        </w:rPr>
        <w:t>, vol. 2, no. 2, pp. 1–14, 2010.</w:t>
      </w:r>
    </w:p>
    <w:p w14:paraId="366946E4" w14:textId="77777777" w:rsidR="00966D4D" w:rsidRPr="00966D4D" w:rsidRDefault="00966D4D" w:rsidP="00966D4D">
      <w:pPr>
        <w:widowControl w:val="0"/>
        <w:autoSpaceDE w:val="0"/>
        <w:autoSpaceDN w:val="0"/>
        <w:adjustRightInd w:val="0"/>
        <w:ind w:left="640" w:hanging="640"/>
        <w:rPr>
          <w:noProof/>
          <w:szCs w:val="24"/>
          <w:lang w:val="en-US"/>
        </w:rPr>
      </w:pPr>
      <w:r w:rsidRPr="00966D4D">
        <w:rPr>
          <w:noProof/>
          <w:szCs w:val="24"/>
          <w:lang w:val="en-US"/>
        </w:rPr>
        <w:t>[5]</w:t>
      </w:r>
      <w:r w:rsidRPr="00966D4D">
        <w:rPr>
          <w:noProof/>
          <w:szCs w:val="24"/>
          <w:lang w:val="en-US"/>
        </w:rPr>
        <w:tab/>
        <w:t xml:space="preserve">A. M. Amin, M. H. I. Ibrahim, R. Asmawi, and N. Mustafa, “The Influence of Sewage fat Composition on Rheological Bahavior of Metal Injection Moulding,” </w:t>
      </w:r>
      <w:r w:rsidRPr="00966D4D">
        <w:rPr>
          <w:i/>
          <w:iCs/>
          <w:noProof/>
          <w:szCs w:val="24"/>
          <w:lang w:val="en-US"/>
        </w:rPr>
        <w:t>Appl. Mech. Mater.</w:t>
      </w:r>
      <w:r w:rsidRPr="00966D4D">
        <w:rPr>
          <w:noProof/>
          <w:szCs w:val="24"/>
          <w:lang w:val="en-US"/>
        </w:rPr>
        <w:t>, vol. 660, pp. 38–42, 2014.</w:t>
      </w:r>
    </w:p>
    <w:p w14:paraId="7FD15F08" w14:textId="77777777" w:rsidR="00966D4D" w:rsidRPr="00966D4D" w:rsidRDefault="00966D4D" w:rsidP="00966D4D">
      <w:pPr>
        <w:widowControl w:val="0"/>
        <w:autoSpaceDE w:val="0"/>
        <w:autoSpaceDN w:val="0"/>
        <w:adjustRightInd w:val="0"/>
        <w:ind w:left="640" w:hanging="640"/>
        <w:rPr>
          <w:noProof/>
          <w:szCs w:val="24"/>
          <w:lang w:val="en-US"/>
        </w:rPr>
      </w:pPr>
      <w:r w:rsidRPr="00966D4D">
        <w:rPr>
          <w:noProof/>
          <w:szCs w:val="24"/>
          <w:lang w:val="en-US"/>
        </w:rPr>
        <w:t>[6]</w:t>
      </w:r>
      <w:r w:rsidRPr="00966D4D">
        <w:rPr>
          <w:noProof/>
          <w:szCs w:val="24"/>
          <w:lang w:val="en-US"/>
        </w:rPr>
        <w:tab/>
        <w:t xml:space="preserve">R. Supati, N. H. Loh, K. A. Khor, and S. B. Tor, “Mixing and characterization of feedstock for powder injection molding,” </w:t>
      </w:r>
      <w:r w:rsidRPr="00966D4D">
        <w:rPr>
          <w:i/>
          <w:iCs/>
          <w:noProof/>
          <w:szCs w:val="24"/>
          <w:lang w:val="en-US"/>
        </w:rPr>
        <w:t>Mater. Lett.</w:t>
      </w:r>
      <w:r w:rsidRPr="00966D4D">
        <w:rPr>
          <w:noProof/>
          <w:szCs w:val="24"/>
          <w:lang w:val="en-US"/>
        </w:rPr>
        <w:t>, vol. 46, no. 2–3, pp. 109–114, 2000.</w:t>
      </w:r>
    </w:p>
    <w:p w14:paraId="1E37BDAE" w14:textId="77777777" w:rsidR="00966D4D" w:rsidRPr="00966D4D" w:rsidRDefault="00966D4D" w:rsidP="00966D4D">
      <w:pPr>
        <w:widowControl w:val="0"/>
        <w:autoSpaceDE w:val="0"/>
        <w:autoSpaceDN w:val="0"/>
        <w:adjustRightInd w:val="0"/>
        <w:ind w:left="640" w:hanging="640"/>
        <w:rPr>
          <w:noProof/>
          <w:szCs w:val="24"/>
          <w:lang w:val="en-US"/>
        </w:rPr>
      </w:pPr>
      <w:r w:rsidRPr="00966D4D">
        <w:rPr>
          <w:noProof/>
          <w:szCs w:val="24"/>
          <w:lang w:val="en-US"/>
        </w:rPr>
        <w:t>[7]</w:t>
      </w:r>
      <w:r w:rsidRPr="00966D4D">
        <w:rPr>
          <w:noProof/>
          <w:szCs w:val="24"/>
          <w:lang w:val="en-US"/>
        </w:rPr>
        <w:tab/>
        <w:t xml:space="preserve">C. H. Ji, N. H. Loh, K. A. Khor, and S. B. Tor, “Sintering study of 316L stainless steel metal injection molding parts using Taguchi method: Final density,” </w:t>
      </w:r>
      <w:r w:rsidRPr="00966D4D">
        <w:rPr>
          <w:i/>
          <w:iCs/>
          <w:noProof/>
          <w:szCs w:val="24"/>
          <w:lang w:val="en-US"/>
        </w:rPr>
        <w:t>Mater. Sci. Eng. A</w:t>
      </w:r>
      <w:r w:rsidRPr="00966D4D">
        <w:rPr>
          <w:noProof/>
          <w:szCs w:val="24"/>
          <w:lang w:val="en-US"/>
        </w:rPr>
        <w:t>, vol. 311, no. 1–2, pp. 74–82, 2001.</w:t>
      </w:r>
    </w:p>
    <w:p w14:paraId="5B7474C8" w14:textId="77777777" w:rsidR="00966D4D" w:rsidRPr="00966D4D" w:rsidRDefault="00966D4D" w:rsidP="00966D4D">
      <w:pPr>
        <w:widowControl w:val="0"/>
        <w:autoSpaceDE w:val="0"/>
        <w:autoSpaceDN w:val="0"/>
        <w:adjustRightInd w:val="0"/>
        <w:ind w:left="640" w:hanging="640"/>
        <w:rPr>
          <w:noProof/>
          <w:szCs w:val="24"/>
          <w:lang w:val="en-US"/>
        </w:rPr>
      </w:pPr>
      <w:r w:rsidRPr="00966D4D">
        <w:rPr>
          <w:noProof/>
          <w:szCs w:val="24"/>
          <w:lang w:val="en-US"/>
        </w:rPr>
        <w:t>[8]</w:t>
      </w:r>
      <w:r w:rsidRPr="00966D4D">
        <w:rPr>
          <w:noProof/>
          <w:szCs w:val="24"/>
          <w:lang w:val="en-US"/>
        </w:rPr>
        <w:tab/>
        <w:t xml:space="preserve">D. F. Heaney, T. W. Mueller, and P. a. Davies, “Mechanical properties of metal injection moulded 316L stainless steel using both prealloy and master alloy techniques,” </w:t>
      </w:r>
      <w:r w:rsidRPr="00966D4D">
        <w:rPr>
          <w:i/>
          <w:iCs/>
          <w:noProof/>
          <w:szCs w:val="24"/>
          <w:lang w:val="en-US"/>
        </w:rPr>
        <w:t>Powder Metall.</w:t>
      </w:r>
      <w:r w:rsidRPr="00966D4D">
        <w:rPr>
          <w:noProof/>
          <w:szCs w:val="24"/>
          <w:lang w:val="en-US"/>
        </w:rPr>
        <w:t>, vol. 47, no. 4, pp. 367–373, 2004.</w:t>
      </w:r>
    </w:p>
    <w:p w14:paraId="1DB0FBD1" w14:textId="77777777" w:rsidR="00966D4D" w:rsidRPr="00966D4D" w:rsidRDefault="00966D4D" w:rsidP="00966D4D">
      <w:pPr>
        <w:widowControl w:val="0"/>
        <w:autoSpaceDE w:val="0"/>
        <w:autoSpaceDN w:val="0"/>
        <w:adjustRightInd w:val="0"/>
        <w:ind w:left="640" w:hanging="640"/>
        <w:rPr>
          <w:noProof/>
          <w:szCs w:val="24"/>
          <w:lang w:val="en-US"/>
        </w:rPr>
      </w:pPr>
      <w:r w:rsidRPr="00966D4D">
        <w:rPr>
          <w:noProof/>
          <w:szCs w:val="24"/>
          <w:lang w:val="en-US"/>
        </w:rPr>
        <w:t>[9]</w:t>
      </w:r>
      <w:r w:rsidRPr="00966D4D">
        <w:rPr>
          <w:noProof/>
          <w:szCs w:val="24"/>
          <w:lang w:val="en-US"/>
        </w:rPr>
        <w:tab/>
        <w:t xml:space="preserve">A. O. Yakimov and T. W. Coyle, “A statistical analysis of the factors affecting thermal debinding,” </w:t>
      </w:r>
      <w:r w:rsidRPr="00966D4D">
        <w:rPr>
          <w:i/>
          <w:iCs/>
          <w:noProof/>
          <w:szCs w:val="24"/>
          <w:lang w:val="en-US"/>
        </w:rPr>
        <w:t>Mater. Sci. Lett.</w:t>
      </w:r>
      <w:r w:rsidRPr="00966D4D">
        <w:rPr>
          <w:noProof/>
          <w:szCs w:val="24"/>
          <w:lang w:val="en-US"/>
        </w:rPr>
        <w:t>, vol. 19, pp. 2255–2257, 2000.</w:t>
      </w:r>
    </w:p>
    <w:p w14:paraId="29B94EA1" w14:textId="77777777" w:rsidR="00966D4D" w:rsidRPr="00966D4D" w:rsidRDefault="00966D4D" w:rsidP="00966D4D">
      <w:pPr>
        <w:widowControl w:val="0"/>
        <w:autoSpaceDE w:val="0"/>
        <w:autoSpaceDN w:val="0"/>
        <w:adjustRightInd w:val="0"/>
        <w:ind w:left="640" w:hanging="640"/>
        <w:rPr>
          <w:noProof/>
          <w:szCs w:val="24"/>
          <w:lang w:val="en-US"/>
        </w:rPr>
      </w:pPr>
      <w:r w:rsidRPr="00966D4D">
        <w:rPr>
          <w:noProof/>
          <w:szCs w:val="24"/>
          <w:lang w:val="en-US"/>
        </w:rPr>
        <w:t>[10]</w:t>
      </w:r>
      <w:r w:rsidRPr="00966D4D">
        <w:rPr>
          <w:noProof/>
          <w:szCs w:val="24"/>
          <w:lang w:val="en-US"/>
        </w:rPr>
        <w:tab/>
        <w:t>H. Jorge, L. Hennetier, A. Correia, and A. Cunha, “Tailoring Solvent / Thermal Debinding 316L Stainless Steel Feedstocks for PIM</w:t>
      </w:r>
      <w:r w:rsidRPr="00966D4D">
        <w:rPr>
          <w:rFonts w:ascii="Times New Roman" w:hAnsi="Times New Roman"/>
          <w:noProof/>
          <w:szCs w:val="24"/>
          <w:lang w:val="en-US"/>
        </w:rPr>
        <w:t> </w:t>
      </w:r>
      <w:r w:rsidRPr="00966D4D">
        <w:rPr>
          <w:noProof/>
          <w:szCs w:val="24"/>
          <w:lang w:val="en-US"/>
        </w:rPr>
        <w:t xml:space="preserve">: An Experimental Approach,” </w:t>
      </w:r>
      <w:r w:rsidRPr="00966D4D">
        <w:rPr>
          <w:i/>
          <w:iCs/>
          <w:noProof/>
          <w:szCs w:val="24"/>
          <w:lang w:val="en-US"/>
        </w:rPr>
        <w:t>Euro PM2005</w:t>
      </w:r>
      <w:r w:rsidRPr="00966D4D">
        <w:rPr>
          <w:noProof/>
          <w:szCs w:val="24"/>
          <w:lang w:val="en-US"/>
        </w:rPr>
        <w:t>, pp. 351–357, 2005.</w:t>
      </w:r>
    </w:p>
    <w:p w14:paraId="450A37D3" w14:textId="77777777" w:rsidR="00966D4D" w:rsidRPr="00966D4D" w:rsidRDefault="00966D4D" w:rsidP="00966D4D">
      <w:pPr>
        <w:widowControl w:val="0"/>
        <w:autoSpaceDE w:val="0"/>
        <w:autoSpaceDN w:val="0"/>
        <w:adjustRightInd w:val="0"/>
        <w:ind w:left="640" w:hanging="640"/>
        <w:rPr>
          <w:noProof/>
          <w:szCs w:val="24"/>
          <w:lang w:val="en-US"/>
        </w:rPr>
      </w:pPr>
      <w:r w:rsidRPr="00966D4D">
        <w:rPr>
          <w:noProof/>
          <w:szCs w:val="24"/>
          <w:lang w:val="en-US"/>
        </w:rPr>
        <w:t>[11]</w:t>
      </w:r>
      <w:r w:rsidRPr="00966D4D">
        <w:rPr>
          <w:noProof/>
          <w:szCs w:val="24"/>
          <w:lang w:val="en-US"/>
        </w:rPr>
        <w:tab/>
        <w:t xml:space="preserve">N. H. Loh and R. M. German, “Statistical analysis of shrinkage variation for powder injection molding,” </w:t>
      </w:r>
      <w:r w:rsidRPr="00966D4D">
        <w:rPr>
          <w:i/>
          <w:iCs/>
          <w:noProof/>
          <w:szCs w:val="24"/>
          <w:lang w:val="en-US"/>
        </w:rPr>
        <w:t>J. Mater. Process. Technol.</w:t>
      </w:r>
      <w:r w:rsidRPr="00966D4D">
        <w:rPr>
          <w:noProof/>
          <w:szCs w:val="24"/>
          <w:lang w:val="en-US"/>
        </w:rPr>
        <w:t>, vol. 59, no. 3 SPEC. ISS., pp. 278–284, 1996.</w:t>
      </w:r>
    </w:p>
    <w:p w14:paraId="340C827A" w14:textId="77777777" w:rsidR="00966D4D" w:rsidRPr="00966D4D" w:rsidRDefault="00966D4D" w:rsidP="00966D4D">
      <w:pPr>
        <w:widowControl w:val="0"/>
        <w:autoSpaceDE w:val="0"/>
        <w:autoSpaceDN w:val="0"/>
        <w:adjustRightInd w:val="0"/>
        <w:ind w:left="640" w:hanging="640"/>
        <w:rPr>
          <w:noProof/>
          <w:szCs w:val="24"/>
          <w:lang w:val="en-US"/>
        </w:rPr>
      </w:pPr>
      <w:r w:rsidRPr="00966D4D">
        <w:rPr>
          <w:noProof/>
          <w:szCs w:val="24"/>
          <w:lang w:val="en-US"/>
        </w:rPr>
        <w:t>[12]</w:t>
      </w:r>
      <w:r w:rsidRPr="00966D4D">
        <w:rPr>
          <w:noProof/>
          <w:szCs w:val="24"/>
          <w:lang w:val="en-US"/>
        </w:rPr>
        <w:tab/>
        <w:t xml:space="preserve">S. Butković, M. Oruč, E. Šarić, and M. Mehmedović, “Effect of sintering parameters on the density, microstructure and mechanical properties of the niobium-modified heat-resistant stainless steel GX40CrNiSi25-20 produced by MIM technology,” </w:t>
      </w:r>
      <w:r w:rsidRPr="00966D4D">
        <w:rPr>
          <w:i/>
          <w:iCs/>
          <w:noProof/>
          <w:szCs w:val="24"/>
          <w:lang w:val="en-US"/>
        </w:rPr>
        <w:t>Mater. Tehnol.</w:t>
      </w:r>
      <w:r w:rsidRPr="00966D4D">
        <w:rPr>
          <w:noProof/>
          <w:szCs w:val="24"/>
          <w:lang w:val="en-US"/>
        </w:rPr>
        <w:t>, vol. 46, no. 2, pp. 185–190, 2012.</w:t>
      </w:r>
    </w:p>
    <w:p w14:paraId="5EF66094" w14:textId="77777777" w:rsidR="00966D4D" w:rsidRPr="00966D4D" w:rsidRDefault="00966D4D" w:rsidP="00966D4D">
      <w:pPr>
        <w:widowControl w:val="0"/>
        <w:autoSpaceDE w:val="0"/>
        <w:autoSpaceDN w:val="0"/>
        <w:adjustRightInd w:val="0"/>
        <w:ind w:left="640" w:hanging="640"/>
        <w:rPr>
          <w:noProof/>
          <w:szCs w:val="24"/>
          <w:lang w:val="en-US"/>
        </w:rPr>
      </w:pPr>
      <w:r w:rsidRPr="00966D4D">
        <w:rPr>
          <w:noProof/>
          <w:szCs w:val="24"/>
          <w:lang w:val="en-US"/>
        </w:rPr>
        <w:t>[13]</w:t>
      </w:r>
      <w:r w:rsidRPr="00966D4D">
        <w:rPr>
          <w:noProof/>
          <w:szCs w:val="24"/>
          <w:lang w:val="en-US"/>
        </w:rPr>
        <w:tab/>
        <w:t xml:space="preserve">A. T. Sidambe, I. A. Figueroa, H. G. C. Hamilton, and I. Todd, “Metal injection moulding of CP-Ti components for biomedical applications,” </w:t>
      </w:r>
      <w:r w:rsidRPr="00966D4D">
        <w:rPr>
          <w:i/>
          <w:iCs/>
          <w:noProof/>
          <w:szCs w:val="24"/>
          <w:lang w:val="en-US"/>
        </w:rPr>
        <w:t>J. Mater. Process. Technol.</w:t>
      </w:r>
      <w:r w:rsidRPr="00966D4D">
        <w:rPr>
          <w:noProof/>
          <w:szCs w:val="24"/>
          <w:lang w:val="en-US"/>
        </w:rPr>
        <w:t>, vol. 212, no. 7, pp. 1591–1597, 2012.</w:t>
      </w:r>
    </w:p>
    <w:p w14:paraId="2CE3FAF0" w14:textId="77777777" w:rsidR="00966D4D" w:rsidRPr="00966D4D" w:rsidRDefault="00966D4D" w:rsidP="00966D4D">
      <w:pPr>
        <w:widowControl w:val="0"/>
        <w:autoSpaceDE w:val="0"/>
        <w:autoSpaceDN w:val="0"/>
        <w:adjustRightInd w:val="0"/>
        <w:ind w:left="640" w:hanging="640"/>
        <w:rPr>
          <w:noProof/>
          <w:szCs w:val="24"/>
          <w:lang w:val="en-US"/>
        </w:rPr>
      </w:pPr>
      <w:r w:rsidRPr="00966D4D">
        <w:rPr>
          <w:noProof/>
          <w:szCs w:val="24"/>
          <w:lang w:val="en-US"/>
        </w:rPr>
        <w:t>[14]</w:t>
      </w:r>
      <w:r w:rsidRPr="00966D4D">
        <w:rPr>
          <w:noProof/>
          <w:szCs w:val="24"/>
          <w:lang w:val="en-US"/>
        </w:rPr>
        <w:tab/>
        <w:t>K. Lee, M. De Hoyos, S. Ahn, R. Nambiar, M. A. Gonzalez, S. Jin, and R. M. German, “Gas-assisted powder injection molding</w:t>
      </w:r>
      <w:r w:rsidRPr="00966D4D">
        <w:rPr>
          <w:rFonts w:ascii="Times New Roman" w:hAnsi="Times New Roman"/>
          <w:noProof/>
          <w:szCs w:val="24"/>
          <w:lang w:val="en-US"/>
        </w:rPr>
        <w:t> </w:t>
      </w:r>
      <w:r w:rsidRPr="00966D4D">
        <w:rPr>
          <w:noProof/>
          <w:szCs w:val="24"/>
          <w:lang w:val="en-US"/>
        </w:rPr>
        <w:t xml:space="preserve">: A study on the effect of processing variables on gas penetration,” </w:t>
      </w:r>
      <w:r w:rsidRPr="00966D4D">
        <w:rPr>
          <w:i/>
          <w:iCs/>
          <w:noProof/>
          <w:szCs w:val="24"/>
          <w:lang w:val="en-US"/>
        </w:rPr>
        <w:t>Powder Technol.</w:t>
      </w:r>
      <w:r w:rsidRPr="00966D4D">
        <w:rPr>
          <w:noProof/>
          <w:szCs w:val="24"/>
          <w:lang w:val="en-US"/>
        </w:rPr>
        <w:t>, vol. 200, no. 3, pp. 128–135, 2010.</w:t>
      </w:r>
    </w:p>
    <w:p w14:paraId="411E959D" w14:textId="77777777" w:rsidR="00966D4D" w:rsidRPr="00966D4D" w:rsidRDefault="00966D4D" w:rsidP="00966D4D">
      <w:pPr>
        <w:widowControl w:val="0"/>
        <w:autoSpaceDE w:val="0"/>
        <w:autoSpaceDN w:val="0"/>
        <w:adjustRightInd w:val="0"/>
        <w:ind w:left="640" w:hanging="640"/>
        <w:rPr>
          <w:noProof/>
          <w:szCs w:val="24"/>
          <w:lang w:val="en-US"/>
        </w:rPr>
      </w:pPr>
      <w:r w:rsidRPr="00966D4D">
        <w:rPr>
          <w:noProof/>
          <w:szCs w:val="24"/>
          <w:lang w:val="en-US"/>
        </w:rPr>
        <w:t>[15]</w:t>
      </w:r>
      <w:r w:rsidRPr="00966D4D">
        <w:rPr>
          <w:noProof/>
          <w:szCs w:val="24"/>
          <w:lang w:val="en-US"/>
        </w:rPr>
        <w:tab/>
        <w:t>M. H. . Ibrahim, “Optimization of MicroMetal Injection Moulding Parameter by Design of Experiment Method,” Universiti Kebangsaan Malaysia, 2011.</w:t>
      </w:r>
    </w:p>
    <w:p w14:paraId="4D5E8C5D" w14:textId="77777777" w:rsidR="00966D4D" w:rsidRPr="00966D4D" w:rsidRDefault="00966D4D" w:rsidP="00966D4D">
      <w:pPr>
        <w:widowControl w:val="0"/>
        <w:autoSpaceDE w:val="0"/>
        <w:autoSpaceDN w:val="0"/>
        <w:adjustRightInd w:val="0"/>
        <w:ind w:left="640" w:hanging="640"/>
        <w:rPr>
          <w:noProof/>
          <w:szCs w:val="24"/>
          <w:lang w:val="en-US"/>
        </w:rPr>
      </w:pPr>
      <w:r w:rsidRPr="00966D4D">
        <w:rPr>
          <w:noProof/>
          <w:szCs w:val="24"/>
          <w:lang w:val="en-US"/>
        </w:rPr>
        <w:t>[16]</w:t>
      </w:r>
      <w:r w:rsidRPr="00966D4D">
        <w:rPr>
          <w:noProof/>
          <w:szCs w:val="24"/>
          <w:lang w:val="en-US"/>
        </w:rPr>
        <w:tab/>
        <w:t xml:space="preserve">M. H. I. Ibrahim, N. Muhamad, A. B. Sulong, and K. R. Jamaludin, “Optimization of Micro Metal Injection Molding with Multiple Performance Characteristics using </w:t>
      </w:r>
      <w:r w:rsidRPr="00966D4D">
        <w:rPr>
          <w:noProof/>
          <w:szCs w:val="24"/>
          <w:lang w:val="en-US"/>
        </w:rPr>
        <w:lastRenderedPageBreak/>
        <w:t xml:space="preserve">Grey Relational Grade,” </w:t>
      </w:r>
      <w:r w:rsidRPr="00966D4D">
        <w:rPr>
          <w:i/>
          <w:iCs/>
          <w:noProof/>
          <w:szCs w:val="24"/>
          <w:lang w:val="en-US"/>
        </w:rPr>
        <w:t>J. Sci.</w:t>
      </w:r>
      <w:r w:rsidRPr="00966D4D">
        <w:rPr>
          <w:noProof/>
          <w:szCs w:val="24"/>
          <w:lang w:val="en-US"/>
        </w:rPr>
        <w:t>, vol. 38, no. 2, pp. 231–241, 2011.</w:t>
      </w:r>
    </w:p>
    <w:p w14:paraId="3F3BADF1" w14:textId="77777777" w:rsidR="00966D4D" w:rsidRPr="00966D4D" w:rsidRDefault="00966D4D" w:rsidP="00966D4D">
      <w:pPr>
        <w:widowControl w:val="0"/>
        <w:autoSpaceDE w:val="0"/>
        <w:autoSpaceDN w:val="0"/>
        <w:adjustRightInd w:val="0"/>
        <w:ind w:left="640" w:hanging="640"/>
        <w:rPr>
          <w:noProof/>
          <w:szCs w:val="24"/>
          <w:lang w:val="en-US"/>
        </w:rPr>
      </w:pPr>
      <w:r w:rsidRPr="00966D4D">
        <w:rPr>
          <w:noProof/>
          <w:szCs w:val="24"/>
          <w:lang w:val="en-US"/>
        </w:rPr>
        <w:t>[17]</w:t>
      </w:r>
      <w:r w:rsidRPr="00966D4D">
        <w:rPr>
          <w:noProof/>
          <w:szCs w:val="24"/>
          <w:lang w:val="en-US"/>
        </w:rPr>
        <w:tab/>
        <w:t xml:space="preserve">M. I. H. Chua, A. B. Sulong, M. F. Abdullah, and N. Muhamad, “Optimization of injection molding and solvent debinding parameters of stainless steel powder (SS316L) based feedstock for metal injection molding,” </w:t>
      </w:r>
      <w:r w:rsidRPr="00966D4D">
        <w:rPr>
          <w:i/>
          <w:iCs/>
          <w:noProof/>
          <w:szCs w:val="24"/>
          <w:lang w:val="en-US"/>
        </w:rPr>
        <w:t>Sains Malaysiana</w:t>
      </w:r>
      <w:r w:rsidRPr="00966D4D">
        <w:rPr>
          <w:noProof/>
          <w:szCs w:val="24"/>
          <w:lang w:val="en-US"/>
        </w:rPr>
        <w:t>, vol. 42, no. 12, pp. 1743–1750, 2013.</w:t>
      </w:r>
    </w:p>
    <w:p w14:paraId="6F8CCE70" w14:textId="77777777" w:rsidR="00966D4D" w:rsidRPr="00966D4D" w:rsidRDefault="00966D4D" w:rsidP="00966D4D">
      <w:pPr>
        <w:widowControl w:val="0"/>
        <w:autoSpaceDE w:val="0"/>
        <w:autoSpaceDN w:val="0"/>
        <w:adjustRightInd w:val="0"/>
        <w:ind w:left="640" w:hanging="640"/>
        <w:rPr>
          <w:noProof/>
          <w:szCs w:val="24"/>
          <w:lang w:val="en-US"/>
        </w:rPr>
      </w:pPr>
      <w:r w:rsidRPr="00966D4D">
        <w:rPr>
          <w:noProof/>
          <w:szCs w:val="24"/>
          <w:lang w:val="en-US"/>
        </w:rPr>
        <w:t>[18]</w:t>
      </w:r>
      <w:r w:rsidRPr="00966D4D">
        <w:rPr>
          <w:noProof/>
          <w:szCs w:val="24"/>
          <w:lang w:val="en-US"/>
        </w:rPr>
        <w:tab/>
        <w:t xml:space="preserve">R. M. German and A. Bose, </w:t>
      </w:r>
      <w:r w:rsidRPr="00966D4D">
        <w:rPr>
          <w:i/>
          <w:iCs/>
          <w:noProof/>
          <w:szCs w:val="24"/>
          <w:lang w:val="en-US"/>
        </w:rPr>
        <w:t>Injection Molding of Metals and Ceramics</w:t>
      </w:r>
      <w:r w:rsidRPr="00966D4D">
        <w:rPr>
          <w:noProof/>
          <w:szCs w:val="24"/>
          <w:lang w:val="en-US"/>
        </w:rPr>
        <w:t>. Metal powders Industries Federation, 1997.</w:t>
      </w:r>
    </w:p>
    <w:p w14:paraId="07D8A15E" w14:textId="77777777" w:rsidR="00966D4D" w:rsidRPr="00966D4D" w:rsidRDefault="00966D4D" w:rsidP="00966D4D">
      <w:pPr>
        <w:widowControl w:val="0"/>
        <w:autoSpaceDE w:val="0"/>
        <w:autoSpaceDN w:val="0"/>
        <w:adjustRightInd w:val="0"/>
        <w:ind w:left="640" w:hanging="640"/>
        <w:rPr>
          <w:noProof/>
        </w:rPr>
      </w:pPr>
      <w:r w:rsidRPr="00966D4D">
        <w:rPr>
          <w:noProof/>
          <w:szCs w:val="24"/>
          <w:lang w:val="en-US"/>
        </w:rPr>
        <w:t>[19]</w:t>
      </w:r>
      <w:r w:rsidRPr="00966D4D">
        <w:rPr>
          <w:noProof/>
          <w:szCs w:val="24"/>
          <w:lang w:val="en-US"/>
        </w:rPr>
        <w:tab/>
        <w:t xml:space="preserve">N. Mustafa, M. H. I. Ibrahim, R. Asmawi, A. M. Amin, and S. R. Masrol, “Green Strength Optimization in Metal Injection Molding applicable with a Taguchi Method L9 (3)^4,” </w:t>
      </w:r>
      <w:r w:rsidRPr="00966D4D">
        <w:rPr>
          <w:i/>
          <w:iCs/>
          <w:noProof/>
          <w:szCs w:val="24"/>
          <w:lang w:val="en-US"/>
        </w:rPr>
        <w:t>Appl. Mech. Mater.</w:t>
      </w:r>
      <w:r w:rsidRPr="00966D4D">
        <w:rPr>
          <w:noProof/>
          <w:szCs w:val="24"/>
          <w:lang w:val="en-US"/>
        </w:rPr>
        <w:t>, vol. 773–774, pp. 115–117, 2015.</w:t>
      </w:r>
    </w:p>
    <w:p w14:paraId="4B5212BD" w14:textId="499D4E77" w:rsidR="0002465A" w:rsidRPr="0002465A" w:rsidRDefault="000B6B00" w:rsidP="00966D4D">
      <w:pPr>
        <w:widowControl w:val="0"/>
        <w:autoSpaceDE w:val="0"/>
        <w:autoSpaceDN w:val="0"/>
        <w:adjustRightInd w:val="0"/>
        <w:ind w:left="640" w:hanging="640"/>
      </w:pPr>
      <w:r>
        <w:fldChar w:fldCharType="end"/>
      </w:r>
    </w:p>
    <w:p w14:paraId="26A5C869" w14:textId="77777777" w:rsidR="001F111D" w:rsidRPr="00C05E48" w:rsidRDefault="001F111D"/>
    <w:sectPr w:rsidR="001F111D" w:rsidRPr="00C05E48" w:rsidSect="00EC64C5">
      <w:headerReference w:type="default" r:id="rId23"/>
      <w:footerReference w:type="default" r:id="rId24"/>
      <w:footnotePr>
        <w:pos w:val="beneathText"/>
      </w:footnotePr>
      <w:endnotePr>
        <w:numFmt w:val="chicago"/>
        <w:numStart w:val="4"/>
      </w:endnotePr>
      <w:pgSz w:w="9620" w:h="14160" w:code="9"/>
      <w:pgMar w:top="1361" w:right="1134" w:bottom="907" w:left="1134" w:header="0" w:footer="59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BDCE53" w14:textId="77777777" w:rsidR="00E16757" w:rsidRDefault="00E16757">
      <w:r>
        <w:separator/>
      </w:r>
    </w:p>
  </w:endnote>
  <w:endnote w:type="continuationSeparator" w:id="0">
    <w:p w14:paraId="259BA970" w14:textId="77777777" w:rsidR="00E16757" w:rsidRDefault="00E16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19D36" w14:textId="5558D7B9" w:rsidR="007A0A33" w:rsidRPr="0024000D" w:rsidRDefault="007A0A33" w:rsidP="0024000D">
    <w:pPr>
      <w:pStyle w:val="Footer"/>
      <w:ind w:firstLine="0"/>
      <w:rPr>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E3F2B" w14:textId="77777777" w:rsidR="00E16757" w:rsidRPr="00043761" w:rsidRDefault="00E16757">
      <w:pPr>
        <w:pStyle w:val="Bulleted"/>
        <w:numPr>
          <w:ilvl w:val="0"/>
          <w:numId w:val="0"/>
        </w:numPr>
        <w:rPr>
          <w:rFonts w:ascii="Sabon" w:hAnsi="Sabon"/>
          <w:color w:val="auto"/>
          <w:szCs w:val="20"/>
        </w:rPr>
      </w:pPr>
      <w:r>
        <w:separator/>
      </w:r>
    </w:p>
  </w:footnote>
  <w:footnote w:type="continuationSeparator" w:id="0">
    <w:p w14:paraId="298A800E" w14:textId="77777777" w:rsidR="00E16757" w:rsidRDefault="00E167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88D41" w14:textId="77777777" w:rsidR="007A0A33" w:rsidRDefault="007A0A33"/>
  <w:p w14:paraId="030FD2C7" w14:textId="77777777" w:rsidR="007A0A33" w:rsidRDefault="007A0A33"/>
  <w:p w14:paraId="1115DFCE" w14:textId="77777777" w:rsidR="007A0A33" w:rsidRDefault="007A0A33"/>
  <w:p w14:paraId="0F37AE91" w14:textId="77777777" w:rsidR="007A0A33" w:rsidRDefault="007A0A33"/>
  <w:p w14:paraId="6630BB27" w14:textId="77777777" w:rsidR="007A0A33" w:rsidRDefault="007A0A33"/>
  <w:p w14:paraId="7688B622" w14:textId="77777777" w:rsidR="007A0A33" w:rsidRDefault="007A0A3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1EE2D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491C6A"/>
    <w:multiLevelType w:val="multilevel"/>
    <w:tmpl w:val="8648EE7A"/>
    <w:lvl w:ilvl="0">
      <w:start w:val="1"/>
      <w:numFmt w:val="decimal"/>
      <w:lvlText w:val="%1"/>
      <w:lvlJc w:val="left"/>
      <w:pPr>
        <w:ind w:left="360" w:hanging="36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9067BC"/>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53DE2C0B"/>
    <w:multiLevelType w:val="hybridMultilevel"/>
    <w:tmpl w:val="E130AF18"/>
    <w:lvl w:ilvl="0" w:tplc="499AEA94">
      <w:start w:val="1"/>
      <w:numFmt w:val="lowerLetter"/>
      <w:lvlText w:val="(%1)"/>
      <w:lvlJc w:val="left"/>
      <w:pPr>
        <w:ind w:left="644" w:hanging="360"/>
      </w:pPr>
      <w:rPr>
        <w:rFonts w:hint="default"/>
      </w:rPr>
    </w:lvl>
    <w:lvl w:ilvl="1" w:tplc="44090019" w:tentative="1">
      <w:start w:val="1"/>
      <w:numFmt w:val="lowerLetter"/>
      <w:lvlText w:val="%2."/>
      <w:lvlJc w:val="left"/>
      <w:pPr>
        <w:ind w:left="1364" w:hanging="360"/>
      </w:pPr>
    </w:lvl>
    <w:lvl w:ilvl="2" w:tplc="4409001B" w:tentative="1">
      <w:start w:val="1"/>
      <w:numFmt w:val="lowerRoman"/>
      <w:lvlText w:val="%3."/>
      <w:lvlJc w:val="right"/>
      <w:pPr>
        <w:ind w:left="2084" w:hanging="180"/>
      </w:pPr>
    </w:lvl>
    <w:lvl w:ilvl="3" w:tplc="4409000F" w:tentative="1">
      <w:start w:val="1"/>
      <w:numFmt w:val="decimal"/>
      <w:lvlText w:val="%4."/>
      <w:lvlJc w:val="left"/>
      <w:pPr>
        <w:ind w:left="2804" w:hanging="360"/>
      </w:pPr>
    </w:lvl>
    <w:lvl w:ilvl="4" w:tplc="44090019" w:tentative="1">
      <w:start w:val="1"/>
      <w:numFmt w:val="lowerLetter"/>
      <w:lvlText w:val="%5."/>
      <w:lvlJc w:val="left"/>
      <w:pPr>
        <w:ind w:left="3524" w:hanging="360"/>
      </w:pPr>
    </w:lvl>
    <w:lvl w:ilvl="5" w:tplc="4409001B" w:tentative="1">
      <w:start w:val="1"/>
      <w:numFmt w:val="lowerRoman"/>
      <w:lvlText w:val="%6."/>
      <w:lvlJc w:val="right"/>
      <w:pPr>
        <w:ind w:left="4244" w:hanging="180"/>
      </w:pPr>
    </w:lvl>
    <w:lvl w:ilvl="6" w:tplc="4409000F" w:tentative="1">
      <w:start w:val="1"/>
      <w:numFmt w:val="decimal"/>
      <w:lvlText w:val="%7."/>
      <w:lvlJc w:val="left"/>
      <w:pPr>
        <w:ind w:left="4964" w:hanging="360"/>
      </w:pPr>
    </w:lvl>
    <w:lvl w:ilvl="7" w:tplc="44090019" w:tentative="1">
      <w:start w:val="1"/>
      <w:numFmt w:val="lowerLetter"/>
      <w:lvlText w:val="%8."/>
      <w:lvlJc w:val="left"/>
      <w:pPr>
        <w:ind w:left="5684" w:hanging="360"/>
      </w:pPr>
    </w:lvl>
    <w:lvl w:ilvl="8" w:tplc="4409001B" w:tentative="1">
      <w:start w:val="1"/>
      <w:numFmt w:val="lowerRoman"/>
      <w:lvlText w:val="%9."/>
      <w:lvlJc w:val="right"/>
      <w:pPr>
        <w:ind w:left="6404" w:hanging="180"/>
      </w:pPr>
    </w:lvl>
  </w:abstractNum>
  <w:abstractNum w:abstractNumId="5"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FCE5D00"/>
    <w:multiLevelType w:val="multilevel"/>
    <w:tmpl w:val="C6CC17F6"/>
    <w:lvl w:ilvl="0">
      <w:start w:val="1"/>
      <w:numFmt w:val="decimal"/>
      <w:pStyle w:val="Heading2"/>
      <w:lvlText w:val="%1"/>
      <w:lvlJc w:val="left"/>
      <w:pPr>
        <w:tabs>
          <w:tab w:val="num" w:pos="284"/>
        </w:tabs>
        <w:ind w:left="284" w:hanging="284"/>
      </w:pPr>
      <w:rPr>
        <w:rFonts w:hint="default"/>
      </w:r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6"/>
  </w:num>
  <w:num w:numId="2">
    <w:abstractNumId w:val="2"/>
  </w:num>
  <w:num w:numId="3">
    <w:abstractNumId w:val="1"/>
  </w:num>
  <w:num w:numId="4">
    <w:abstractNumId w:val="5"/>
  </w:num>
  <w:num w:numId="5">
    <w:abstractNumId w:val="4"/>
  </w:num>
  <w:num w:numId="6">
    <w:abstractNumId w:val="0"/>
  </w:num>
  <w:num w:numId="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activeWritingStyle w:appName="MSWord" w:lang="en-MY"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11D"/>
    <w:rsid w:val="0002465A"/>
    <w:rsid w:val="00024B8E"/>
    <w:rsid w:val="00084389"/>
    <w:rsid w:val="0008484A"/>
    <w:rsid w:val="000B572F"/>
    <w:rsid w:val="000B6B00"/>
    <w:rsid w:val="000C44FE"/>
    <w:rsid w:val="000D6BFF"/>
    <w:rsid w:val="000F050D"/>
    <w:rsid w:val="001064B0"/>
    <w:rsid w:val="001717B0"/>
    <w:rsid w:val="00185047"/>
    <w:rsid w:val="001903C4"/>
    <w:rsid w:val="001B0107"/>
    <w:rsid w:val="001B389F"/>
    <w:rsid w:val="001E479A"/>
    <w:rsid w:val="001F111D"/>
    <w:rsid w:val="00207E26"/>
    <w:rsid w:val="0024000D"/>
    <w:rsid w:val="00250FE5"/>
    <w:rsid w:val="0025536A"/>
    <w:rsid w:val="00271A7B"/>
    <w:rsid w:val="002A25D9"/>
    <w:rsid w:val="002B33D5"/>
    <w:rsid w:val="00313B5E"/>
    <w:rsid w:val="00323D3C"/>
    <w:rsid w:val="003617C6"/>
    <w:rsid w:val="00373C21"/>
    <w:rsid w:val="003A1C31"/>
    <w:rsid w:val="003B70E8"/>
    <w:rsid w:val="003D24CD"/>
    <w:rsid w:val="003D6F2E"/>
    <w:rsid w:val="0040069D"/>
    <w:rsid w:val="004475DB"/>
    <w:rsid w:val="0047473F"/>
    <w:rsid w:val="00485CF2"/>
    <w:rsid w:val="004B3B1D"/>
    <w:rsid w:val="004C38B7"/>
    <w:rsid w:val="004D2D6A"/>
    <w:rsid w:val="00510B5A"/>
    <w:rsid w:val="005200DA"/>
    <w:rsid w:val="005857B2"/>
    <w:rsid w:val="00590B72"/>
    <w:rsid w:val="005D2EEF"/>
    <w:rsid w:val="005D6893"/>
    <w:rsid w:val="005D77BA"/>
    <w:rsid w:val="005E0092"/>
    <w:rsid w:val="00643285"/>
    <w:rsid w:val="006750F6"/>
    <w:rsid w:val="006A4388"/>
    <w:rsid w:val="006A4B8E"/>
    <w:rsid w:val="006D20C1"/>
    <w:rsid w:val="006E017B"/>
    <w:rsid w:val="006E15CA"/>
    <w:rsid w:val="006E1E6D"/>
    <w:rsid w:val="006F3481"/>
    <w:rsid w:val="00706E45"/>
    <w:rsid w:val="007861FF"/>
    <w:rsid w:val="007A0A33"/>
    <w:rsid w:val="007D410F"/>
    <w:rsid w:val="008035C1"/>
    <w:rsid w:val="00830678"/>
    <w:rsid w:val="00897E0C"/>
    <w:rsid w:val="008B10ED"/>
    <w:rsid w:val="008C219D"/>
    <w:rsid w:val="008F2608"/>
    <w:rsid w:val="009203E1"/>
    <w:rsid w:val="00944042"/>
    <w:rsid w:val="00961DF6"/>
    <w:rsid w:val="009624D0"/>
    <w:rsid w:val="00966D4D"/>
    <w:rsid w:val="009741A0"/>
    <w:rsid w:val="00996FDB"/>
    <w:rsid w:val="00997833"/>
    <w:rsid w:val="009B0A42"/>
    <w:rsid w:val="009D44E8"/>
    <w:rsid w:val="009D69BF"/>
    <w:rsid w:val="009D7594"/>
    <w:rsid w:val="00A0737F"/>
    <w:rsid w:val="00A10129"/>
    <w:rsid w:val="00A22790"/>
    <w:rsid w:val="00A31052"/>
    <w:rsid w:val="00A42114"/>
    <w:rsid w:val="00A6163B"/>
    <w:rsid w:val="00A61E3A"/>
    <w:rsid w:val="00AA77B6"/>
    <w:rsid w:val="00AE31D3"/>
    <w:rsid w:val="00B22276"/>
    <w:rsid w:val="00B327ED"/>
    <w:rsid w:val="00B463AF"/>
    <w:rsid w:val="00B52968"/>
    <w:rsid w:val="00B555C4"/>
    <w:rsid w:val="00B71753"/>
    <w:rsid w:val="00BD4AA5"/>
    <w:rsid w:val="00BE1C3C"/>
    <w:rsid w:val="00BE4437"/>
    <w:rsid w:val="00C17B4C"/>
    <w:rsid w:val="00C5251F"/>
    <w:rsid w:val="00C906C4"/>
    <w:rsid w:val="00C95F17"/>
    <w:rsid w:val="00CB6533"/>
    <w:rsid w:val="00CC4B18"/>
    <w:rsid w:val="00CE476E"/>
    <w:rsid w:val="00D22FF7"/>
    <w:rsid w:val="00D472C2"/>
    <w:rsid w:val="00DB4F5D"/>
    <w:rsid w:val="00E01C45"/>
    <w:rsid w:val="00E16757"/>
    <w:rsid w:val="00E255BC"/>
    <w:rsid w:val="00E406FC"/>
    <w:rsid w:val="00E73FD1"/>
    <w:rsid w:val="00E7494E"/>
    <w:rsid w:val="00EC64C5"/>
    <w:rsid w:val="00EC6F0C"/>
    <w:rsid w:val="00F03A5F"/>
    <w:rsid w:val="00F35C3D"/>
    <w:rsid w:val="00F3714C"/>
    <w:rsid w:val="00F46120"/>
    <w:rsid w:val="00F54564"/>
    <w:rsid w:val="00F95166"/>
    <w:rsid w:val="00FB70D7"/>
    <w:rsid w:val="00FB74E2"/>
    <w:rsid w:val="00FC6655"/>
    <w:rsid w:val="00FE2237"/>
    <w:rsid w:val="00FF4005"/>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DDB85B"/>
  <w15:docId w15:val="{59B689AF-57BF-44CF-BDB8-1CD4BA32B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MY"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E45"/>
    <w:pPr>
      <w:ind w:firstLine="284"/>
      <w:jc w:val="both"/>
    </w:pPr>
    <w:rPr>
      <w:rFonts w:ascii="Times" w:hAnsi="Times"/>
      <w:lang w:val="en-GB"/>
    </w:rPr>
  </w:style>
  <w:style w:type="paragraph" w:styleId="Heading1">
    <w:name w:val="heading 1"/>
    <w:basedOn w:val="Normal"/>
    <w:next w:val="Normal"/>
    <w:qFormat/>
    <w:rsid w:val="004C38B7"/>
    <w:pPr>
      <w:keepNext/>
      <w:widowControl w:val="0"/>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rsid w:val="00706E45"/>
    <w:pPr>
      <w:keepNext/>
      <w:numPr>
        <w:numId w:val="1"/>
      </w:numPr>
      <w:spacing w:before="340" w:after="170"/>
      <w:outlineLvl w:val="1"/>
    </w:pPr>
    <w:rPr>
      <w:rFonts w:ascii="Arial" w:hAnsi="Arial" w:cs="Arial"/>
      <w:b/>
      <w:bCs/>
      <w:iCs/>
      <w:sz w:val="24"/>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pPr>
    <w:rPr>
      <w:rFonts w:ascii="Times" w:hAnsi="Times"/>
      <w:i/>
      <w:iCs/>
      <w:color w:val="000000"/>
      <w:sz w:val="22"/>
      <w:szCs w:val="22"/>
      <w:lang w:val="en-GB"/>
    </w:rPr>
  </w:style>
  <w:style w:type="paragraph" w:customStyle="1" w:styleId="Bodytext">
    <w:name w:val="Bodytext"/>
    <w:next w:val="BodytextIndented"/>
    <w:pPr>
      <w:jc w:val="both"/>
    </w:pPr>
    <w:rPr>
      <w:rFonts w:ascii="Times" w:hAnsi="Times"/>
      <w:iCs/>
      <w:color w:val="000000"/>
      <w:sz w:val="22"/>
      <w:szCs w:val="22"/>
      <w:lang w:val="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val="en-GB"/>
    </w:rPr>
  </w:style>
  <w:style w:type="paragraph" w:customStyle="1" w:styleId="Section">
    <w:name w:val="Section"/>
    <w:next w:val="Bodytext"/>
    <w:pPr>
      <w:spacing w:before="240"/>
    </w:pPr>
    <w:rPr>
      <w:rFonts w:ascii="Times" w:hAnsi="Times"/>
      <w:b/>
      <w:iCs/>
      <w:color w:val="000000"/>
      <w:sz w:val="22"/>
      <w:szCs w:val="22"/>
      <w:lang w:val="en-GB"/>
    </w:rPr>
  </w:style>
  <w:style w:type="paragraph" w:styleId="FootnoteText">
    <w:name w:val="footnote text"/>
    <w:basedOn w:val="Normal"/>
    <w:semiHidden/>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val="en-GB"/>
    </w:rPr>
  </w:style>
  <w:style w:type="paragraph" w:styleId="EndnoteText">
    <w:name w:val="endnote text"/>
    <w:basedOn w:val="Normal"/>
    <w:semiHidden/>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val="en-GB"/>
    </w:rPr>
  </w:style>
  <w:style w:type="paragraph" w:customStyle="1" w:styleId="E-mail">
    <w:name w:val="E-mail"/>
    <w:next w:val="Abstract"/>
    <w:pPr>
      <w:spacing w:after="240"/>
      <w:ind w:left="1418"/>
    </w:pPr>
    <w:rPr>
      <w:rFonts w:ascii="Times" w:hAnsi="Times"/>
      <w:noProof/>
      <w:sz w:val="22"/>
      <w:szCs w:val="22"/>
      <w:lang w:val="en-US"/>
    </w:rPr>
  </w:style>
  <w:style w:type="paragraph" w:customStyle="1" w:styleId="Abstract">
    <w:name w:val="Abstract"/>
    <w:next w:val="Section"/>
    <w:pPr>
      <w:spacing w:after="454"/>
      <w:ind w:left="1418"/>
      <w:jc w:val="both"/>
    </w:pPr>
    <w:rPr>
      <w:rFonts w:ascii="Times" w:hAnsi="Times"/>
      <w:color w:val="000000"/>
      <w:lang w:val="en-GB"/>
    </w:rPr>
  </w:style>
  <w:style w:type="paragraph" w:customStyle="1" w:styleId="Sectionnonumber">
    <w:name w:val="Section (no number)"/>
    <w:next w:val="Bodytext"/>
    <w:pPr>
      <w:spacing w:before="240"/>
    </w:pPr>
    <w:rPr>
      <w:rFonts w:ascii="Times" w:hAnsi="Times"/>
      <w:b/>
      <w:iCs/>
      <w:color w:val="000000"/>
      <w:sz w:val="22"/>
      <w:szCs w:val="22"/>
      <w:lang w:val="en-US"/>
    </w:rPr>
  </w:style>
  <w:style w:type="character" w:styleId="PageNumber">
    <w:name w:val="page number"/>
    <w:basedOn w:val="DefaultParagraphFont"/>
    <w:semiHidden/>
  </w:style>
  <w:style w:type="paragraph" w:styleId="Title">
    <w:name w:val="Title"/>
    <w:basedOn w:val="Normal"/>
    <w:next w:val="Authors"/>
    <w:qFormat/>
    <w:rsid w:val="00966D4D"/>
    <w:pPr>
      <w:spacing w:before="1247" w:after="340"/>
      <w:ind w:firstLine="0"/>
    </w:pPr>
    <w:rPr>
      <w:rFonts w:ascii="Arial" w:hAnsi="Arial" w:cs="Arial"/>
      <w:b/>
      <w:sz w:val="32"/>
      <w:szCs w:val="32"/>
      <w:lang w:val="en-US"/>
    </w:rPr>
  </w:style>
  <w:style w:type="paragraph" w:customStyle="1" w:styleId="Authors">
    <w:name w:val="Authors"/>
    <w:next w:val="Addresses"/>
    <w:pPr>
      <w:spacing w:after="113"/>
      <w:ind w:left="1418"/>
    </w:pPr>
    <w:rPr>
      <w:rFonts w:ascii="Times" w:hAnsi="Times"/>
      <w:b/>
      <w:sz w:val="22"/>
      <w:szCs w:val="22"/>
      <w:lang w:val="en-GB"/>
    </w:rPr>
  </w:style>
  <w:style w:type="paragraph" w:customStyle="1" w:styleId="Addresses">
    <w:name w:val="Addresses"/>
    <w:next w:val="E-mail"/>
    <w:pPr>
      <w:spacing w:after="240"/>
      <w:ind w:left="1418"/>
    </w:pPr>
    <w:rPr>
      <w:rFonts w:ascii="Times" w:hAnsi="Times"/>
      <w:sz w:val="22"/>
      <w:szCs w:val="22"/>
      <w:lang w:val="en-GB"/>
    </w:rPr>
  </w:style>
  <w:style w:type="paragraph" w:customStyle="1" w:styleId="FigureCaption">
    <w:name w:val="FigureCaption"/>
    <w:pPr>
      <w:spacing w:before="170"/>
      <w:ind w:left="28"/>
      <w:jc w:val="center"/>
    </w:pPr>
    <w:rPr>
      <w:rFonts w:ascii="Times" w:hAnsi="Times"/>
      <w:color w:val="000000"/>
      <w:sz w:val="22"/>
      <w:szCs w:val="22"/>
      <w:lang w:val="en-GB"/>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val="en-GB"/>
    </w:rPr>
  </w:style>
  <w:style w:type="character" w:styleId="Hyperlink">
    <w:name w:val="Hyperlink"/>
    <w:uiPriority w:val="99"/>
    <w:unhideWhenUsed/>
    <w:rsid w:val="00CC4B18"/>
    <w:rPr>
      <w:color w:val="0563C1"/>
      <w:u w:val="single"/>
    </w:rPr>
  </w:style>
  <w:style w:type="paragraph" w:customStyle="1" w:styleId="Default">
    <w:name w:val="Default"/>
    <w:rsid w:val="008035C1"/>
    <w:pPr>
      <w:autoSpaceDE w:val="0"/>
      <w:autoSpaceDN w:val="0"/>
      <w:adjustRightInd w:val="0"/>
    </w:pPr>
    <w:rPr>
      <w:color w:val="000000"/>
      <w:sz w:val="24"/>
      <w:szCs w:val="24"/>
      <w:lang w:eastAsia="en-MY"/>
    </w:rPr>
  </w:style>
  <w:style w:type="paragraph" w:styleId="Caption">
    <w:name w:val="caption"/>
    <w:basedOn w:val="Normal"/>
    <w:next w:val="Normal"/>
    <w:uiPriority w:val="35"/>
    <w:unhideWhenUsed/>
    <w:qFormat/>
    <w:rsid w:val="00FE2237"/>
    <w:pPr>
      <w:jc w:val="center"/>
    </w:pPr>
    <w:rPr>
      <w:b/>
      <w:bCs/>
      <w:sz w:val="18"/>
    </w:rPr>
  </w:style>
  <w:style w:type="paragraph" w:styleId="BalloonText">
    <w:name w:val="Balloon Text"/>
    <w:basedOn w:val="Normal"/>
    <w:link w:val="BalloonTextChar"/>
    <w:uiPriority w:val="99"/>
    <w:semiHidden/>
    <w:unhideWhenUsed/>
    <w:rsid w:val="006A4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4B8E"/>
    <w:rPr>
      <w:rFonts w:ascii="Lucida Grande" w:hAnsi="Lucida Grande" w:cs="Lucida Grande"/>
      <w:sz w:val="18"/>
      <w:szCs w:val="18"/>
      <w:lang w:val="en-GB"/>
    </w:rPr>
  </w:style>
  <w:style w:type="character" w:styleId="PlaceholderText">
    <w:name w:val="Placeholder Text"/>
    <w:basedOn w:val="DefaultParagraphFont"/>
    <w:uiPriority w:val="67"/>
    <w:unhideWhenUsed/>
    <w:rsid w:val="006A4B8E"/>
    <w:rPr>
      <w:color w:val="808080"/>
    </w:rPr>
  </w:style>
  <w:style w:type="character" w:styleId="FollowedHyperlink">
    <w:name w:val="FollowedHyperlink"/>
    <w:basedOn w:val="DefaultParagraphFont"/>
    <w:uiPriority w:val="99"/>
    <w:semiHidden/>
    <w:unhideWhenUsed/>
    <w:rsid w:val="0025536A"/>
    <w:rPr>
      <w:color w:val="800080" w:themeColor="followedHyperlink"/>
      <w:u w:val="single"/>
    </w:rPr>
  </w:style>
  <w:style w:type="paragraph" w:styleId="Header">
    <w:name w:val="header"/>
    <w:basedOn w:val="Normal"/>
    <w:link w:val="HeaderChar"/>
    <w:uiPriority w:val="99"/>
    <w:unhideWhenUsed/>
    <w:rsid w:val="0024000D"/>
    <w:pPr>
      <w:tabs>
        <w:tab w:val="center" w:pos="4320"/>
        <w:tab w:val="right" w:pos="8640"/>
      </w:tabs>
    </w:pPr>
  </w:style>
  <w:style w:type="character" w:customStyle="1" w:styleId="HeaderChar">
    <w:name w:val="Header Char"/>
    <w:basedOn w:val="DefaultParagraphFont"/>
    <w:link w:val="Header"/>
    <w:uiPriority w:val="99"/>
    <w:rsid w:val="0024000D"/>
    <w:rPr>
      <w:rFonts w:ascii="Times" w:hAnsi="Times"/>
      <w:lang w:val="en-GB"/>
    </w:rPr>
  </w:style>
  <w:style w:type="paragraph" w:styleId="Footer">
    <w:name w:val="footer"/>
    <w:basedOn w:val="Normal"/>
    <w:link w:val="FooterChar"/>
    <w:uiPriority w:val="99"/>
    <w:unhideWhenUsed/>
    <w:rsid w:val="0024000D"/>
    <w:pPr>
      <w:tabs>
        <w:tab w:val="center" w:pos="4320"/>
        <w:tab w:val="right" w:pos="8640"/>
      </w:tabs>
    </w:pPr>
  </w:style>
  <w:style w:type="character" w:customStyle="1" w:styleId="FooterChar">
    <w:name w:val="Footer Char"/>
    <w:basedOn w:val="DefaultParagraphFont"/>
    <w:link w:val="Footer"/>
    <w:uiPriority w:val="99"/>
    <w:rsid w:val="0024000D"/>
    <w:rPr>
      <w:rFonts w:ascii="Times" w:hAnsi="Time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azriszul@uthm.edu.my"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azriszul@uthm.edu.my" TargetMode="External"/><Relationship Id="rId14" Type="http://schemas.openxmlformats.org/officeDocument/2006/relationships/image" Target="media/image5.emf"/><Relationship Id="rId22"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CB80A-8EEB-4B1E-83D9-EBAFABA67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JPCSA4Template.dot</Template>
  <TotalTime>0</TotalTime>
  <Pages>11</Pages>
  <Words>9898</Words>
  <Characters>56424</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66190</CharactersWithSpaces>
  <SharedDoc>false</SharedDoc>
  <HLinks>
    <vt:vector size="24" baseType="variant">
      <vt:variant>
        <vt:i4>4587557</vt:i4>
      </vt:variant>
      <vt:variant>
        <vt:i4>9</vt:i4>
      </vt:variant>
      <vt:variant>
        <vt:i4>0</vt:i4>
      </vt:variant>
      <vt:variant>
        <vt:i4>5</vt:i4>
      </vt:variant>
      <vt:variant>
        <vt:lpwstr>mailto:nj.wawa@gmail.com</vt:lpwstr>
      </vt:variant>
      <vt:variant>
        <vt:lpwstr/>
      </vt:variant>
      <vt:variant>
        <vt:i4>7929868</vt:i4>
      </vt:variant>
      <vt:variant>
        <vt:i4>6</vt:i4>
      </vt:variant>
      <vt:variant>
        <vt:i4>0</vt:i4>
      </vt:variant>
      <vt:variant>
        <vt:i4>5</vt:i4>
      </vt:variant>
      <vt:variant>
        <vt:lpwstr>mailto:roslias@uthm.edu.my</vt:lpwstr>
      </vt:variant>
      <vt:variant>
        <vt:lpwstr/>
      </vt:variant>
      <vt:variant>
        <vt:i4>6684674</vt:i4>
      </vt:variant>
      <vt:variant>
        <vt:i4>3</vt:i4>
      </vt:variant>
      <vt:variant>
        <vt:i4>0</vt:i4>
      </vt:variant>
      <vt:variant>
        <vt:i4>5</vt:i4>
      </vt:variant>
      <vt:variant>
        <vt:lpwstr>mailto:mdhalim@uthm.edu.my</vt:lpwstr>
      </vt:variant>
      <vt:variant>
        <vt:lpwstr/>
      </vt:variant>
      <vt:variant>
        <vt:i4>5439542</vt:i4>
      </vt:variant>
      <vt:variant>
        <vt:i4>0</vt:i4>
      </vt:variant>
      <vt:variant>
        <vt:i4>0</vt:i4>
      </vt:variant>
      <vt:variant>
        <vt:i4>5</vt:i4>
      </vt:variant>
      <vt:variant>
        <vt:lpwstr>mailto:azriszul@uthm.edu.my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subject/>
  <dc:creator>UTHM</dc:creator>
  <cp:keywords>open access, proceedings, template, fast, affordable, flexible</cp:keywords>
  <dc:description/>
  <cp:lastModifiedBy>azriszul</cp:lastModifiedBy>
  <cp:revision>2</cp:revision>
  <cp:lastPrinted>2005-02-25T02:52:00Z</cp:lastPrinted>
  <dcterms:created xsi:type="dcterms:W3CDTF">2017-07-05T08:24:00Z</dcterms:created>
  <dcterms:modified xsi:type="dcterms:W3CDTF">2017-07-05T08:24:00Z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24803b44-c453-3a19-bfd8-40822a97cea0</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